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rPr>
          <w:rFonts w:ascii="Times New Roman"/>
          <w:sz w:val="20"/>
        </w:rPr>
      </w:pPr>
    </w:p>
    <w:p>
      <w:pPr>
        <w:pStyle w:val="4"/>
        <w:spacing w:before="1"/>
        <w:ind w:left="0"/>
        <w:rPr>
          <w:sz w:val="64"/>
        </w:rPr>
      </w:pPr>
    </w:p>
    <w:p>
      <w:pPr>
        <w:autoSpaceDE/>
        <w:autoSpaceDN/>
        <w:spacing w:line="360" w:lineRule="auto"/>
        <w:ind w:firstLine="2160" w:firstLineChars="300"/>
        <w:rPr>
          <w:rFonts w:hint="eastAsia" w:ascii="黑体" w:hAnsi="黑体" w:eastAsia="黑体" w:cs="黑体"/>
          <w:sz w:val="72"/>
          <w:szCs w:val="72"/>
          <w:lang w:val="en-US" w:bidi="ar-SA"/>
        </w:rPr>
      </w:pPr>
    </w:p>
    <w:p>
      <w:pPr>
        <w:autoSpaceDE/>
        <w:autoSpaceDN/>
        <w:spacing w:line="360" w:lineRule="auto"/>
        <w:ind w:firstLine="2160" w:firstLineChars="300"/>
        <w:rPr>
          <w:rFonts w:hint="eastAsia" w:ascii="黑体" w:hAnsi="黑体" w:eastAsia="黑体" w:cs="黑体"/>
          <w:sz w:val="72"/>
          <w:szCs w:val="72"/>
          <w:lang w:val="en-US" w:bidi="ar-SA"/>
        </w:rPr>
      </w:pPr>
    </w:p>
    <w:p>
      <w:pPr>
        <w:autoSpaceDE/>
        <w:autoSpaceDN/>
        <w:spacing w:line="360" w:lineRule="auto"/>
        <w:ind w:firstLine="2160" w:firstLineChars="300"/>
        <w:rPr>
          <w:rFonts w:hint="eastAsia" w:ascii="黑体" w:hAnsi="黑体" w:eastAsia="黑体" w:cs="黑体"/>
          <w:sz w:val="72"/>
          <w:szCs w:val="72"/>
          <w:lang w:val="en-US" w:bidi="ar-SA"/>
        </w:rPr>
      </w:pPr>
      <w:r>
        <w:rPr>
          <w:rFonts w:hint="eastAsia" w:ascii="黑体" w:hAnsi="黑体" w:eastAsia="黑体" w:cs="黑体"/>
          <w:sz w:val="72"/>
          <w:szCs w:val="72"/>
          <w:lang w:val="en-US" w:bidi="ar-SA"/>
        </w:rPr>
        <w:t>社会责任报告</w:t>
      </w:r>
    </w:p>
    <w:p>
      <w:pPr>
        <w:pStyle w:val="3"/>
        <w:rPr>
          <w:rFonts w:hint="eastAsia" w:ascii="黑体" w:hAnsi="黑体" w:eastAsia="黑体" w:cs="黑体"/>
          <w:sz w:val="72"/>
          <w:szCs w:val="72"/>
          <w:lang w:val="en-US" w:bidi="ar-SA"/>
        </w:rPr>
      </w:pPr>
    </w:p>
    <w:p>
      <w:pPr>
        <w:rPr>
          <w:rFonts w:hint="eastAsia"/>
          <w:lang w:val="en-US"/>
        </w:rPr>
      </w:pPr>
    </w:p>
    <w:p>
      <w:pPr>
        <w:autoSpaceDE/>
        <w:autoSpaceDN/>
        <w:spacing w:line="360" w:lineRule="auto"/>
        <w:rPr>
          <w:rFonts w:hint="eastAsia" w:ascii="黑体" w:hAnsi="黑体" w:eastAsia="黑体" w:cs="黑体"/>
          <w:sz w:val="44"/>
          <w:szCs w:val="44"/>
          <w:lang w:val="en-US" w:eastAsia="zh-CN" w:bidi="ar-SA"/>
        </w:rPr>
      </w:pPr>
    </w:p>
    <w:p>
      <w:pPr>
        <w:spacing w:before="28"/>
        <w:ind w:right="239"/>
        <w:jc w:val="center"/>
        <w:rPr>
          <w:rFonts w:hint="eastAsia"/>
          <w:sz w:val="52"/>
        </w:rPr>
      </w:pPr>
    </w:p>
    <w:p>
      <w:pPr>
        <w:spacing w:before="28"/>
        <w:ind w:right="239"/>
        <w:jc w:val="both"/>
        <w:rPr>
          <w:rFonts w:hint="eastAsia" w:eastAsia="宋体"/>
          <w:sz w:val="52"/>
          <w:lang w:eastAsia="zh-CN"/>
        </w:rPr>
      </w:pPr>
    </w:p>
    <w:p>
      <w:pPr>
        <w:pStyle w:val="3"/>
        <w:rPr>
          <w:rFonts w:hint="eastAsia" w:eastAsia="宋体"/>
          <w:sz w:val="52"/>
          <w:lang w:eastAsia="zh-CN"/>
        </w:rPr>
      </w:pPr>
    </w:p>
    <w:p>
      <w:pPr>
        <w:rPr>
          <w:rFonts w:hint="eastAsia" w:eastAsia="宋体"/>
          <w:sz w:val="52"/>
          <w:lang w:eastAsia="zh-CN"/>
        </w:rPr>
      </w:pPr>
    </w:p>
    <w:p>
      <w:pPr>
        <w:pStyle w:val="3"/>
        <w:rPr>
          <w:rFonts w:hint="eastAsia"/>
          <w:lang w:eastAsia="zh-CN"/>
        </w:rPr>
      </w:pPr>
    </w:p>
    <w:p>
      <w:pPr>
        <w:pStyle w:val="3"/>
        <w:rPr>
          <w:rFonts w:hint="eastAsia" w:eastAsia="宋体"/>
          <w:sz w:val="52"/>
          <w:lang w:eastAsia="zh-CN"/>
        </w:rPr>
      </w:pPr>
    </w:p>
    <w:p>
      <w:pPr>
        <w:rPr>
          <w:rFonts w:hint="eastAsia" w:eastAsia="宋体"/>
          <w:sz w:val="52"/>
          <w:lang w:eastAsia="zh-CN"/>
        </w:rPr>
      </w:pPr>
    </w:p>
    <w:p>
      <w:pPr>
        <w:pStyle w:val="3"/>
        <w:rPr>
          <w:rFonts w:hint="eastAsia"/>
          <w:lang w:eastAsia="zh-CN"/>
        </w:rPr>
      </w:pPr>
    </w:p>
    <w:p>
      <w:pPr>
        <w:autoSpaceDE/>
        <w:autoSpaceDN/>
        <w:spacing w:line="360" w:lineRule="auto"/>
        <w:ind w:firstLine="1928" w:firstLineChars="400"/>
        <w:jc w:val="both"/>
        <w:rPr>
          <w:rFonts w:hint="eastAsia" w:eastAsia="宋体"/>
          <w:sz w:val="44"/>
          <w:szCs w:val="44"/>
          <w:lang w:eastAsia="zh-CN"/>
        </w:rPr>
      </w:pPr>
      <w:r>
        <w:rPr>
          <w:rFonts w:hint="eastAsia"/>
          <w:b/>
          <w:sz w:val="48"/>
          <w:szCs w:val="48"/>
          <w:lang w:eastAsia="zh-CN"/>
        </w:rPr>
        <w:t>浙江信得达特种管业有限公司</w:t>
      </w:r>
    </w:p>
    <w:p>
      <w:pPr>
        <w:autoSpaceDE/>
        <w:autoSpaceDN/>
        <w:spacing w:line="360" w:lineRule="auto"/>
        <w:jc w:val="center"/>
        <w:rPr>
          <w:rFonts w:ascii="楷体" w:hAnsi="楷体" w:eastAsia="楷体"/>
          <w:sz w:val="48"/>
          <w:szCs w:val="44"/>
        </w:rPr>
      </w:pPr>
      <w:r>
        <w:rPr>
          <w:rFonts w:hint="eastAsia" w:ascii="楷体" w:hAnsi="楷体" w:eastAsia="楷体"/>
          <w:sz w:val="48"/>
          <w:szCs w:val="44"/>
        </w:rPr>
        <w:t>二零二</w:t>
      </w:r>
      <w:r>
        <w:rPr>
          <w:rFonts w:hint="eastAsia" w:ascii="楷体" w:hAnsi="楷体" w:eastAsia="楷体"/>
          <w:sz w:val="48"/>
          <w:szCs w:val="44"/>
          <w:lang w:val="en-US" w:eastAsia="zh-CN"/>
        </w:rPr>
        <w:t>四</w:t>
      </w:r>
      <w:r>
        <w:rPr>
          <w:rFonts w:hint="eastAsia" w:ascii="楷体" w:hAnsi="楷体" w:eastAsia="楷体"/>
          <w:sz w:val="48"/>
          <w:szCs w:val="44"/>
        </w:rPr>
        <w:t>年</w:t>
      </w:r>
      <w:r>
        <w:rPr>
          <w:rFonts w:hint="eastAsia" w:ascii="楷体" w:hAnsi="楷体" w:eastAsia="楷体"/>
          <w:sz w:val="48"/>
          <w:szCs w:val="44"/>
          <w:lang w:val="en-US" w:eastAsia="zh-CN"/>
        </w:rPr>
        <w:t>五</w:t>
      </w:r>
      <w:r>
        <w:rPr>
          <w:rFonts w:hint="eastAsia" w:ascii="楷体" w:hAnsi="楷体" w:eastAsia="楷体"/>
          <w:sz w:val="48"/>
          <w:szCs w:val="44"/>
        </w:rPr>
        <w:t>月</w:t>
      </w:r>
    </w:p>
    <w:p>
      <w:pPr>
        <w:pStyle w:val="3"/>
      </w:pPr>
    </w:p>
    <w:p>
      <w:pPr>
        <w:spacing w:before="54"/>
        <w:ind w:right="242"/>
        <w:jc w:val="center"/>
        <w:rPr>
          <w:sz w:val="32"/>
        </w:rPr>
      </w:pPr>
      <w:r>
        <w:rPr>
          <w:sz w:val="32"/>
        </w:rPr>
        <w:t>报告编写说明</w:t>
      </w:r>
    </w:p>
    <w:p>
      <w:pPr>
        <w:pStyle w:val="4"/>
        <w:ind w:left="0"/>
        <w:rPr>
          <w:sz w:val="20"/>
        </w:rPr>
      </w:pPr>
    </w:p>
    <w:p>
      <w:pPr>
        <w:pStyle w:val="4"/>
        <w:spacing w:before="6"/>
        <w:ind w:left="0"/>
        <w:rPr>
          <w:sz w:val="26"/>
        </w:rPr>
      </w:pPr>
    </w:p>
    <w:p>
      <w:pPr>
        <w:pStyle w:val="16"/>
        <w:numPr>
          <w:ilvl w:val="0"/>
          <w:numId w:val="1"/>
        </w:numPr>
        <w:tabs>
          <w:tab w:val="left" w:pos="480"/>
        </w:tabs>
        <w:spacing w:before="66"/>
        <w:jc w:val="both"/>
        <w:rPr>
          <w:sz w:val="24"/>
        </w:rPr>
      </w:pPr>
      <w:r>
        <w:rPr>
          <w:sz w:val="24"/>
        </w:rPr>
        <w:t>报告简介</w:t>
      </w:r>
    </w:p>
    <w:p>
      <w:pPr>
        <w:pStyle w:val="4"/>
        <w:spacing w:before="189" w:line="360" w:lineRule="auto"/>
        <w:ind w:left="121" w:leftChars="55" w:firstLine="480" w:firstLineChars="200"/>
        <w:rPr>
          <w:highlight w:val="none"/>
        </w:rPr>
      </w:pPr>
      <w:r>
        <w:rPr>
          <w:highlight w:val="none"/>
        </w:rPr>
        <w:t>《</w:t>
      </w:r>
      <w:r>
        <w:rPr>
          <w:rFonts w:hint="eastAsia"/>
          <w:highlight w:val="none"/>
          <w:lang w:val="en-US" w:eastAsia="zh-CN"/>
        </w:rPr>
        <w:t>浙江信得达特种管业有限公司2023</w:t>
      </w:r>
      <w:r>
        <w:rPr>
          <w:highlight w:val="none"/>
        </w:rPr>
        <w:t>年企业社会责任报告》是</w:t>
      </w:r>
      <w:r>
        <w:rPr>
          <w:rFonts w:hint="eastAsia"/>
          <w:highlight w:val="none"/>
          <w:lang w:eastAsia="zh-CN"/>
        </w:rPr>
        <w:t>浙江信得达特种管业有限公司</w:t>
      </w:r>
      <w:r>
        <w:rPr>
          <w:spacing w:val="-3"/>
          <w:highlight w:val="none"/>
        </w:rPr>
        <w:t>发布的第一份企业社会责任报告。报告回顾了</w:t>
      </w:r>
      <w:r>
        <w:rPr>
          <w:rFonts w:hint="eastAsia"/>
          <w:spacing w:val="-3"/>
          <w:highlight w:val="none"/>
          <w:lang w:val="en-US" w:eastAsia="zh-CN"/>
        </w:rPr>
        <w:t>信得达2023</w:t>
      </w:r>
      <w:r>
        <w:rPr>
          <w:spacing w:val="-11"/>
          <w:highlight w:val="none"/>
        </w:rPr>
        <w:t>年所面临的机遇</w:t>
      </w:r>
      <w:r>
        <w:rPr>
          <w:highlight w:val="none"/>
        </w:rPr>
        <w:t>与挑战，披露了相关的社会责任实践和绩效。</w:t>
      </w:r>
    </w:p>
    <w:p>
      <w:pPr>
        <w:pStyle w:val="16"/>
        <w:numPr>
          <w:ilvl w:val="0"/>
          <w:numId w:val="1"/>
        </w:numPr>
        <w:tabs>
          <w:tab w:val="left" w:pos="480"/>
        </w:tabs>
        <w:spacing w:before="0" w:line="305" w:lineRule="exact"/>
        <w:rPr>
          <w:sz w:val="24"/>
        </w:rPr>
      </w:pPr>
      <w:r>
        <w:rPr>
          <w:sz w:val="24"/>
        </w:rPr>
        <w:t>时间范围</w:t>
      </w:r>
    </w:p>
    <w:p>
      <w:pPr>
        <w:pStyle w:val="4"/>
        <w:spacing w:before="187"/>
        <w:ind w:left="600"/>
      </w:pPr>
      <w:r>
        <w:t>报告中的</w:t>
      </w:r>
      <w:r>
        <w:rPr>
          <w:rFonts w:hint="eastAsia"/>
          <w:lang w:val="en-US" w:eastAsia="zh-CN"/>
        </w:rPr>
        <w:t>2023</w:t>
      </w:r>
      <w:r>
        <w:t>年均指</w:t>
      </w:r>
      <w:r>
        <w:rPr>
          <w:rFonts w:hint="eastAsia"/>
          <w:lang w:val="en-US" w:eastAsia="zh-CN"/>
        </w:rPr>
        <w:t>2023</w:t>
      </w:r>
      <w:r>
        <w:rPr>
          <w:rFonts w:hint="eastAsia"/>
        </w:rPr>
        <w:t>全</w:t>
      </w:r>
      <w:r>
        <w:t>年。</w:t>
      </w:r>
    </w:p>
    <w:p>
      <w:pPr>
        <w:pStyle w:val="16"/>
        <w:numPr>
          <w:ilvl w:val="0"/>
          <w:numId w:val="1"/>
        </w:numPr>
        <w:tabs>
          <w:tab w:val="left" w:pos="480"/>
        </w:tabs>
        <w:spacing w:before="189"/>
        <w:jc w:val="both"/>
        <w:rPr>
          <w:sz w:val="24"/>
        </w:rPr>
      </w:pPr>
      <w:r>
        <w:rPr>
          <w:sz w:val="24"/>
        </w:rPr>
        <w:t>发布周期</w:t>
      </w:r>
    </w:p>
    <w:p>
      <w:pPr>
        <w:pStyle w:val="4"/>
        <w:spacing w:before="190"/>
        <w:ind w:left="600"/>
      </w:pPr>
      <w:r>
        <w:t>本报告为年度报告。</w:t>
      </w:r>
    </w:p>
    <w:p>
      <w:pPr>
        <w:pStyle w:val="16"/>
        <w:numPr>
          <w:ilvl w:val="0"/>
          <w:numId w:val="1"/>
        </w:numPr>
        <w:tabs>
          <w:tab w:val="left" w:pos="480"/>
        </w:tabs>
        <w:spacing w:before="187"/>
        <w:jc w:val="both"/>
        <w:rPr>
          <w:sz w:val="24"/>
        </w:rPr>
      </w:pPr>
      <w:r>
        <w:rPr>
          <w:sz w:val="24"/>
        </w:rPr>
        <w:t>报告范围</w:t>
      </w:r>
    </w:p>
    <w:p>
      <w:pPr>
        <w:pStyle w:val="4"/>
        <w:spacing w:before="189"/>
        <w:ind w:left="600"/>
        <w:rPr>
          <w:highlight w:val="none"/>
        </w:rPr>
      </w:pPr>
      <w:r>
        <w:rPr>
          <w:highlight w:val="none"/>
        </w:rPr>
        <w:t>与</w:t>
      </w:r>
      <w:r>
        <w:rPr>
          <w:rFonts w:hint="eastAsia"/>
          <w:highlight w:val="none"/>
          <w:lang w:eastAsia="zh-CN"/>
        </w:rPr>
        <w:t>浙江信得达特种管业有限公司</w:t>
      </w:r>
      <w:r>
        <w:rPr>
          <w:highlight w:val="none"/>
        </w:rPr>
        <w:t>的业务范围一致。</w:t>
      </w:r>
    </w:p>
    <w:p>
      <w:pPr>
        <w:pStyle w:val="16"/>
        <w:numPr>
          <w:ilvl w:val="0"/>
          <w:numId w:val="1"/>
        </w:numPr>
        <w:tabs>
          <w:tab w:val="left" w:pos="480"/>
        </w:tabs>
        <w:spacing w:before="189"/>
        <w:jc w:val="both"/>
        <w:rPr>
          <w:sz w:val="24"/>
        </w:rPr>
      </w:pPr>
      <w:r>
        <w:rPr>
          <w:sz w:val="24"/>
        </w:rPr>
        <w:t>数据来源</w:t>
      </w:r>
    </w:p>
    <w:p>
      <w:pPr>
        <w:pStyle w:val="4"/>
        <w:spacing w:before="187" w:line="388" w:lineRule="auto"/>
        <w:ind w:right="360" w:firstLine="480"/>
        <w:jc w:val="both"/>
      </w:pPr>
      <w:r>
        <w:rPr>
          <w:spacing w:val="-5"/>
          <w:highlight w:val="none"/>
        </w:rPr>
        <w:t>报告使用数据来自</w:t>
      </w:r>
      <w:r>
        <w:rPr>
          <w:rFonts w:hint="eastAsia"/>
          <w:spacing w:val="-5"/>
          <w:highlight w:val="none"/>
          <w:lang w:val="en-US" w:eastAsia="zh-CN"/>
        </w:rPr>
        <w:t>信得达2023</w:t>
      </w:r>
      <w:r>
        <w:rPr>
          <w:spacing w:val="-8"/>
          <w:highlight w:val="none"/>
        </w:rPr>
        <w:t>年报，以及公司正式文件和统计报告。</w:t>
      </w:r>
      <w:r>
        <w:rPr>
          <w:spacing w:val="-14"/>
          <w:highlight w:val="none"/>
        </w:rPr>
        <w:t>部门数据</w:t>
      </w:r>
      <w:r>
        <w:rPr>
          <w:spacing w:val="-14"/>
        </w:rPr>
        <w:t>由于数据统计和口径的原因，有不完善的地方。我们将在日后不断完善</w:t>
      </w:r>
      <w:r>
        <w:t>数据指标统计系统，以保证将来提供更加全面的信息。</w:t>
      </w:r>
    </w:p>
    <w:p>
      <w:pPr>
        <w:pStyle w:val="16"/>
        <w:numPr>
          <w:ilvl w:val="0"/>
          <w:numId w:val="1"/>
        </w:numPr>
        <w:tabs>
          <w:tab w:val="left" w:pos="480"/>
        </w:tabs>
        <w:spacing w:before="0" w:line="301" w:lineRule="exact"/>
        <w:jc w:val="both"/>
        <w:rPr>
          <w:sz w:val="24"/>
        </w:rPr>
      </w:pPr>
      <w:r>
        <w:rPr>
          <w:sz w:val="24"/>
        </w:rPr>
        <w:t>指代说明</w:t>
      </w:r>
    </w:p>
    <w:p>
      <w:pPr>
        <w:pStyle w:val="4"/>
        <w:spacing w:before="189" w:line="388" w:lineRule="auto"/>
        <w:ind w:right="358" w:firstLine="480"/>
      </w:pPr>
      <w:r>
        <w:rPr>
          <w:spacing w:val="-26"/>
        </w:rPr>
        <w:t>为便于表述，报告中“公司”、“我们”、 “</w:t>
      </w:r>
      <w:r>
        <w:rPr>
          <w:rFonts w:hint="eastAsia"/>
          <w:spacing w:val="-26"/>
          <w:lang w:val="en-US" w:eastAsia="zh-CN"/>
        </w:rPr>
        <w:t>信得达</w:t>
      </w:r>
      <w:r>
        <w:rPr>
          <w:spacing w:val="-26"/>
        </w:rPr>
        <w:t>”均指代</w:t>
      </w:r>
      <w:r>
        <w:rPr>
          <w:spacing w:val="-11"/>
        </w:rPr>
        <w:t>“</w:t>
      </w:r>
      <w:r>
        <w:rPr>
          <w:rFonts w:hint="eastAsia"/>
          <w:spacing w:val="-11"/>
          <w:lang w:eastAsia="zh-CN"/>
        </w:rPr>
        <w:t>浙江信得达特种管业有限公司</w:t>
      </w:r>
      <w:r>
        <w:rPr>
          <w:spacing w:val="-11"/>
        </w:rPr>
        <w:t>”。</w:t>
      </w:r>
    </w:p>
    <w:p>
      <w:pPr>
        <w:spacing w:line="388" w:lineRule="auto"/>
        <w:sectPr>
          <w:headerReference r:id="rId3" w:type="default"/>
          <w:footerReference r:id="rId4" w:type="default"/>
          <w:pgSz w:w="11910" w:h="16840"/>
          <w:pgMar w:top="1420" w:right="1440" w:bottom="1380" w:left="1680" w:header="877" w:footer="1197" w:gutter="0"/>
          <w:pgBorders>
            <w:top w:val="none" w:sz="0" w:space="0"/>
            <w:left w:val="none" w:sz="0" w:space="0"/>
            <w:bottom w:val="none" w:sz="0" w:space="0"/>
            <w:right w:val="none" w:sz="0" w:space="0"/>
          </w:pgBorders>
          <w:cols w:space="720" w:num="1"/>
        </w:sectPr>
      </w:pPr>
    </w:p>
    <w:p>
      <w:pPr>
        <w:pStyle w:val="4"/>
        <w:spacing w:before="1"/>
        <w:ind w:left="0"/>
        <w:rPr>
          <w:sz w:val="19"/>
        </w:rPr>
      </w:pPr>
    </w:p>
    <w:sdt>
      <w:sdtPr>
        <w:rPr>
          <w:rFonts w:ascii="宋体" w:hAnsi="宋体" w:eastAsia="宋体" w:cs="宋体"/>
          <w:color w:val="auto"/>
          <w:sz w:val="22"/>
          <w:szCs w:val="22"/>
          <w:lang w:val="zh-CN" w:bidi="zh-CN"/>
        </w:rPr>
        <w:id w:val="1619027494"/>
        <w:docPartObj>
          <w:docPartGallery w:val="Table of Contents"/>
          <w:docPartUnique/>
        </w:docPartObj>
      </w:sdtPr>
      <w:sdtEndPr>
        <w:rPr>
          <w:rFonts w:ascii="宋体" w:hAnsi="宋体" w:eastAsia="宋体" w:cs="宋体"/>
          <w:b/>
          <w:bCs/>
          <w:color w:val="auto"/>
          <w:sz w:val="22"/>
          <w:szCs w:val="22"/>
          <w:lang w:val="zh-CN" w:bidi="zh-CN"/>
        </w:rPr>
      </w:sdtEndPr>
      <w:sdtContent>
        <w:p>
          <w:pPr>
            <w:pStyle w:val="21"/>
            <w:jc w:val="center"/>
          </w:pPr>
          <w:r>
            <w:rPr>
              <w:lang w:val="zh-CN"/>
            </w:rPr>
            <w:t>目录</w:t>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TOC \o "1-3" \h \z \u </w:instrText>
          </w:r>
          <w:r>
            <w:fldChar w:fldCharType="separate"/>
          </w:r>
          <w:r>
            <w:fldChar w:fldCharType="begin"/>
          </w:r>
          <w:r>
            <w:instrText xml:space="preserve"> HYPERLINK \l "_Toc24531704" </w:instrText>
          </w:r>
          <w:r>
            <w:fldChar w:fldCharType="separate"/>
          </w:r>
          <w:r>
            <w:rPr>
              <w:rStyle w:val="13"/>
            </w:rPr>
            <w:t>公司概况</w:t>
          </w:r>
          <w:r>
            <w:tab/>
          </w:r>
          <w:r>
            <w:fldChar w:fldCharType="begin"/>
          </w:r>
          <w:r>
            <w:instrText xml:space="preserve"> PAGEREF _Toc24531704 \h </w:instrText>
          </w:r>
          <w:r>
            <w:fldChar w:fldCharType="separate"/>
          </w:r>
          <w:r>
            <w:t>1</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"_Toc24531705" </w:instrText>
          </w:r>
          <w:r>
            <w:fldChar w:fldCharType="separate"/>
          </w:r>
          <w:r>
            <w:rPr>
              <w:rStyle w:val="13"/>
            </w:rPr>
            <w:t>一、责任聚焦</w:t>
          </w:r>
          <w:r>
            <w:tab/>
          </w:r>
          <w:r>
            <w:fldChar w:fldCharType="begin"/>
          </w:r>
          <w:r>
            <w:instrText xml:space="preserve"> PAGEREF _Toc24531705 \h </w:instrText>
          </w:r>
          <w:r>
            <w:fldChar w:fldCharType="separate"/>
          </w:r>
          <w:r>
            <w:t>1</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"_Toc24531706" </w:instrText>
          </w:r>
          <w:r>
            <w:fldChar w:fldCharType="separate"/>
          </w:r>
          <w:r>
            <w:rPr>
              <w:rStyle w:val="13"/>
            </w:rPr>
            <w:t>二、战略与管理</w:t>
          </w:r>
          <w:r>
            <w:tab/>
          </w:r>
          <w:r>
            <w:fldChar w:fldCharType="begin"/>
          </w:r>
          <w:r>
            <w:instrText xml:space="preserve"> PAGEREF _Toc24531706 \h </w:instrText>
          </w:r>
          <w:r>
            <w:fldChar w:fldCharType="separate"/>
          </w:r>
          <w:r>
            <w:t>4</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"_Toc24531707" </w:instrText>
          </w:r>
          <w:r>
            <w:fldChar w:fldCharType="separate"/>
          </w:r>
          <w:r>
            <w:rPr>
              <w:rStyle w:val="13"/>
            </w:rPr>
            <w:t>三、守法合规</w:t>
          </w:r>
          <w:r>
            <w:tab/>
          </w:r>
          <w:r>
            <w:rPr>
              <w:rFonts w:hint="eastAsia"/>
            </w:rPr>
            <w:t>19</w:t>
          </w:r>
          <w:r>
            <w:rPr>
              <w:rFonts w:hint="eastAsia"/>
            </w:rP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"_Toc24531708" </w:instrText>
          </w:r>
          <w:r>
            <w:fldChar w:fldCharType="separate"/>
          </w:r>
          <w:r>
            <w:rPr>
              <w:rStyle w:val="13"/>
            </w:rPr>
            <w:t>四、回报股东</w:t>
          </w:r>
          <w:r>
            <w:tab/>
          </w:r>
          <w:r>
            <w:rPr>
              <w:rFonts w:hint="eastAsia"/>
            </w:rPr>
            <w:t>19</w:t>
          </w:r>
          <w:r>
            <w:rPr>
              <w:rFonts w:hint="eastAsia"/>
            </w:rP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"_Toc24531709" </w:instrText>
          </w:r>
          <w:r>
            <w:fldChar w:fldCharType="separate"/>
          </w:r>
          <w:r>
            <w:rPr>
              <w:rStyle w:val="13"/>
            </w:rPr>
            <w:t>五、服务客户</w:t>
          </w:r>
          <w:r>
            <w:tab/>
          </w:r>
          <w:r>
            <w:fldChar w:fldCharType="begin"/>
          </w:r>
          <w:r>
            <w:instrText xml:space="preserve"> PAGEREF _Toc24531709 \h </w:instrText>
          </w:r>
          <w:r>
            <w:fldChar w:fldCharType="separate"/>
          </w:r>
          <w:r>
            <w:t>14</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"_Toc24531711" </w:instrText>
          </w:r>
          <w:r>
            <w:fldChar w:fldCharType="separate"/>
          </w:r>
          <w:r>
            <w:rPr>
              <w:rFonts w:hint="eastAsia"/>
              <w:lang w:val="en-US" w:eastAsia="zh-CN"/>
            </w:rPr>
            <w:t>六</w:t>
          </w:r>
          <w:r>
            <w:rPr>
              <w:rStyle w:val="13"/>
            </w:rPr>
            <w:t>、奉献社会</w:t>
          </w:r>
          <w:r>
            <w:tab/>
          </w:r>
          <w:r>
            <w:fldChar w:fldCharType="begin"/>
          </w:r>
          <w:r>
            <w:instrText xml:space="preserve"> PAGEREF _Toc24531711 \h </w:instrText>
          </w:r>
          <w:r>
            <w:fldChar w:fldCharType="separate"/>
          </w:r>
          <w:r>
            <w:t>16</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"_Toc24531712" </w:instrText>
          </w:r>
          <w:r>
            <w:fldChar w:fldCharType="separate"/>
          </w:r>
          <w:r>
            <w:rPr>
              <w:rFonts w:hint="eastAsia"/>
              <w:lang w:val="en-US" w:eastAsia="zh-CN"/>
            </w:rPr>
            <w:t>七</w:t>
          </w:r>
          <w:r>
            <w:rPr>
              <w:rStyle w:val="13"/>
              <w:spacing w:val="-1"/>
            </w:rPr>
            <w:t>、合作伙伴</w:t>
          </w:r>
          <w:r>
            <w:tab/>
          </w:r>
          <w:r>
            <w:fldChar w:fldCharType="begin"/>
          </w:r>
          <w:r>
            <w:instrText xml:space="preserve"> PAGEREF _Toc24531712 \h </w:instrText>
          </w:r>
          <w:r>
            <w:fldChar w:fldCharType="separate"/>
          </w:r>
          <w:r>
            <w:t>17</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"_Toc24531713" </w:instrText>
          </w:r>
          <w:r>
            <w:fldChar w:fldCharType="separate"/>
          </w:r>
          <w:r>
            <w:rPr>
              <w:rFonts w:hint="eastAsia"/>
              <w:lang w:val="en-US" w:eastAsia="zh-CN"/>
            </w:rPr>
            <w:t>八</w:t>
          </w:r>
          <w:r>
            <w:rPr>
              <w:rStyle w:val="13"/>
            </w:rPr>
            <w:t>、存在问题及改进</w:t>
          </w:r>
          <w:r>
            <w:tab/>
          </w:r>
          <w:r>
            <w:fldChar w:fldCharType="begin"/>
          </w:r>
          <w:r>
            <w:instrText xml:space="preserve"> PAGEREF _Toc24531713 \h </w:instrText>
          </w:r>
          <w:r>
            <w:fldChar w:fldCharType="separate"/>
          </w:r>
          <w:r>
            <w:t>17</w:t>
          </w:r>
          <w:r>
            <w:fldChar w:fldCharType="end"/>
          </w:r>
          <w:r>
            <w:fldChar w:fldCharType="end"/>
          </w:r>
        </w:p>
        <w:p>
          <w:r>
            <w:rPr>
              <w:b/>
              <w:bCs/>
            </w:rPr>
            <w:fldChar w:fldCharType="end"/>
          </w:r>
        </w:p>
      </w:sdtContent>
    </w:sdt>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Pr>
        <w:pStyle w:val="2"/>
        <w:spacing w:before="143"/>
        <w:ind w:left="0" w:right="235"/>
        <w:jc w:val="center"/>
      </w:pPr>
    </w:p>
    <w:p/>
    <w:p/>
    <w:p/>
    <w:p>
      <w:pPr>
        <w:pStyle w:val="2"/>
        <w:spacing w:before="143"/>
        <w:ind w:left="0" w:right="235"/>
        <w:jc w:val="both"/>
        <w:sectPr>
          <w:headerReference r:id="rId5" w:type="default"/>
          <w:footerReference r:id="rId6" w:type="default"/>
          <w:pgSz w:w="11910" w:h="16840"/>
          <w:pgMar w:top="1420" w:right="1440" w:bottom="1380" w:left="1680" w:header="877" w:footer="1197" w:gutter="0"/>
          <w:pgBorders>
            <w:top w:val="none" w:sz="0" w:space="0"/>
            <w:left w:val="none" w:sz="0" w:space="0"/>
            <w:bottom w:val="none" w:sz="0" w:space="0"/>
            <w:right w:val="none" w:sz="0" w:space="0"/>
          </w:pgBorders>
          <w:cols w:space="720" w:num="1"/>
        </w:sectPr>
      </w:pPr>
    </w:p>
    <w:p>
      <w:pPr>
        <w:pStyle w:val="2"/>
        <w:spacing w:before="143"/>
        <w:ind w:left="0" w:right="235"/>
        <w:jc w:val="center"/>
        <w:rPr>
          <w:b/>
          <w:bCs/>
          <w:sz w:val="36"/>
          <w:szCs w:val="36"/>
        </w:rPr>
      </w:pPr>
      <w:bookmarkStart w:id="0" w:name="_Toc24531704"/>
      <w:r>
        <w:rPr>
          <w:b/>
          <w:bCs/>
          <w:sz w:val="36"/>
          <w:szCs w:val="36"/>
        </w:rPr>
        <w:t>公司概况</w:t>
      </w:r>
      <w:bookmarkEnd w:id="0"/>
    </w:p>
    <w:p>
      <w:pPr>
        <w:pStyle w:val="4"/>
        <w:spacing w:before="6"/>
        <w:ind w:left="0"/>
        <w:rPr>
          <w:sz w:val="22"/>
        </w:rPr>
      </w:pPr>
    </w:p>
    <w:p>
      <w:pPr>
        <w:spacing w:line="360" w:lineRule="auto"/>
        <w:ind w:firstLine="600" w:firstLineChars="250"/>
        <w:rPr>
          <w:rFonts w:ascii="Verdana" w:hAnsi="Verdana"/>
          <w:color w:val="000000"/>
          <w:sz w:val="24"/>
          <w:szCs w:val="24"/>
          <w:shd w:val="clear" w:color="auto" w:fill="FFFFFF"/>
        </w:rPr>
      </w:pPr>
      <w:bookmarkStart w:id="1" w:name="一、责任聚焦"/>
      <w:bookmarkEnd w:id="1"/>
      <w:bookmarkStart w:id="2" w:name="_Toc24531705"/>
      <w:r>
        <w:rPr>
          <w:rFonts w:hint="eastAsia" w:ascii="Verdana" w:hAnsi="Verdana"/>
          <w:color w:val="000000"/>
          <w:sz w:val="24"/>
          <w:szCs w:val="24"/>
          <w:shd w:val="clear" w:color="auto" w:fill="FFFFFF"/>
        </w:rPr>
        <w:t>浙江信得达特种管业有</w:t>
      </w:r>
      <w:r>
        <w:rPr>
          <w:rFonts w:hint="eastAsia" w:ascii="宋体" w:hAnsi="宋体"/>
          <w:color w:val="000000"/>
          <w:sz w:val="24"/>
          <w:szCs w:val="24"/>
          <w:shd w:val="clear" w:color="auto" w:fill="FFFFFF"/>
        </w:rPr>
        <w:t>限公司（以下简称“信得达”“公司”）创建于1997年，位于温州市龙湾区，距温州机场</w:t>
      </w:r>
      <w:r>
        <w:rPr>
          <w:rFonts w:ascii="宋体" w:hAnsi="宋体"/>
          <w:color w:val="000000"/>
          <w:sz w:val="24"/>
          <w:szCs w:val="24"/>
          <w:shd w:val="clear" w:color="auto" w:fill="FFFFFF"/>
        </w:rPr>
        <w:t xml:space="preserve">8 </w:t>
      </w:r>
      <w:r>
        <w:rPr>
          <w:rFonts w:hint="eastAsia" w:ascii="宋体" w:hAnsi="宋体"/>
          <w:color w:val="000000"/>
          <w:sz w:val="24"/>
          <w:szCs w:val="24"/>
          <w:shd w:val="clear" w:color="auto" w:fill="FFFFFF"/>
        </w:rPr>
        <w:t>公里</w:t>
      </w:r>
      <w:r>
        <w:rPr>
          <w:rFonts w:hint="eastAsia" w:ascii="Verdana" w:hAnsi="Verdana"/>
          <w:color w:val="000000"/>
          <w:sz w:val="24"/>
          <w:szCs w:val="24"/>
          <w:shd w:val="clear" w:color="auto" w:fill="FFFFFF"/>
        </w:rPr>
        <w:t>，交通十分便利，是温州市直属企业。公司是一家专注于不锈钢无缝管及不锈钢管件、法兰的研发、制造、营销和服务的全国无区域企业。公司产品广泛应用于：换热器、压力容器、石油开采、化工、高速动车、海洋工程与造船等行业。</w:t>
      </w:r>
    </w:p>
    <w:p>
      <w:pPr>
        <w:spacing w:line="360" w:lineRule="auto"/>
        <w:ind w:firstLine="600" w:firstLineChars="250"/>
        <w:rPr>
          <w:rFonts w:ascii="宋体" w:hAnsi="宋体"/>
          <w:color w:val="000000"/>
          <w:sz w:val="24"/>
          <w:szCs w:val="24"/>
          <w:shd w:val="clear" w:color="auto" w:fill="FFFFFF"/>
        </w:rPr>
      </w:pPr>
      <w:r>
        <w:rPr>
          <w:rFonts w:hint="eastAsia" w:ascii="宋体" w:hAnsi="宋体"/>
          <w:color w:val="000000"/>
          <w:sz w:val="24"/>
          <w:szCs w:val="24"/>
          <w:shd w:val="clear" w:color="auto" w:fill="FFFFFF"/>
        </w:rPr>
        <w:t>公司占地面积45亩，年产无缝不锈钢管及不锈钢管件6</w:t>
      </w:r>
      <w:r>
        <w:rPr>
          <w:rFonts w:ascii="宋体" w:hAnsi="宋体"/>
          <w:color w:val="000000"/>
          <w:sz w:val="24"/>
          <w:szCs w:val="24"/>
          <w:shd w:val="clear" w:color="auto" w:fill="FFFFFF"/>
        </w:rPr>
        <w:t xml:space="preserve">000 </w:t>
      </w:r>
      <w:r>
        <w:rPr>
          <w:rFonts w:hint="eastAsia" w:ascii="宋体" w:hAnsi="宋体"/>
          <w:color w:val="000000"/>
          <w:sz w:val="24"/>
          <w:szCs w:val="24"/>
          <w:shd w:val="clear" w:color="auto" w:fill="FFFFFF"/>
        </w:rPr>
        <w:t>余吨，主要材质有TP304、TP321、T316L、TP310S、TP347H、S32750、S31803、TP317LMN、Incoloy800H、Inconcl625、316Lmod、TP725LN、 TP904L、TP310HCBN等材质，可根据客户要求按国标</w:t>
      </w:r>
      <w:r>
        <w:rPr>
          <w:rFonts w:ascii="宋体" w:hAnsi="宋体"/>
          <w:color w:val="000000"/>
          <w:sz w:val="24"/>
          <w:szCs w:val="24"/>
          <w:shd w:val="clear" w:color="auto" w:fill="FFFFFF"/>
        </w:rPr>
        <w:t>GB</w:t>
      </w:r>
      <w:r>
        <w:rPr>
          <w:rFonts w:hint="eastAsia" w:ascii="宋体" w:hAnsi="宋体"/>
          <w:color w:val="000000"/>
          <w:sz w:val="24"/>
          <w:szCs w:val="24"/>
          <w:shd w:val="clear" w:color="auto" w:fill="FFFFFF"/>
        </w:rPr>
        <w:t>、美标</w:t>
      </w:r>
      <w:r>
        <w:rPr>
          <w:rFonts w:ascii="宋体" w:hAnsi="宋体"/>
          <w:color w:val="000000"/>
          <w:sz w:val="24"/>
          <w:szCs w:val="24"/>
          <w:shd w:val="clear" w:color="auto" w:fill="FFFFFF"/>
        </w:rPr>
        <w:t xml:space="preserve">ASTM/ASME </w:t>
      </w:r>
      <w:r>
        <w:rPr>
          <w:rFonts w:hint="eastAsia" w:ascii="宋体" w:hAnsi="宋体"/>
          <w:color w:val="000000"/>
          <w:sz w:val="24"/>
          <w:szCs w:val="24"/>
          <w:shd w:val="clear" w:color="auto" w:fill="FFFFFF"/>
        </w:rPr>
        <w:t>、日标</w:t>
      </w:r>
      <w:r>
        <w:rPr>
          <w:rFonts w:ascii="宋体" w:hAnsi="宋体"/>
          <w:color w:val="000000"/>
          <w:sz w:val="24"/>
          <w:szCs w:val="24"/>
          <w:shd w:val="clear" w:color="auto" w:fill="FFFFFF"/>
        </w:rPr>
        <w:t>JIS</w:t>
      </w:r>
      <w:r>
        <w:rPr>
          <w:rFonts w:hint="eastAsia" w:ascii="宋体" w:hAnsi="宋体"/>
          <w:color w:val="000000"/>
          <w:sz w:val="24"/>
          <w:szCs w:val="24"/>
          <w:shd w:val="clear" w:color="auto" w:fill="FFFFFF"/>
        </w:rPr>
        <w:t>、德标</w:t>
      </w:r>
      <w:r>
        <w:rPr>
          <w:rFonts w:ascii="宋体" w:hAnsi="宋体"/>
          <w:color w:val="000000"/>
          <w:sz w:val="24"/>
          <w:szCs w:val="24"/>
          <w:shd w:val="clear" w:color="auto" w:fill="FFFFFF"/>
        </w:rPr>
        <w:t xml:space="preserve">DIN </w:t>
      </w:r>
      <w:r>
        <w:rPr>
          <w:rFonts w:hint="eastAsia" w:ascii="宋体" w:hAnsi="宋体"/>
          <w:color w:val="000000"/>
          <w:sz w:val="24"/>
          <w:szCs w:val="24"/>
          <w:shd w:val="clear" w:color="auto" w:fill="FFFFFF"/>
        </w:rPr>
        <w:t>标准生产。公司尿素级不锈</w:t>
      </w:r>
      <w:r>
        <w:rPr>
          <w:rFonts w:hint="eastAsia" w:ascii="Verdana" w:hAnsi="Verdana"/>
          <w:color w:val="000000"/>
          <w:sz w:val="24"/>
          <w:szCs w:val="24"/>
          <w:shd w:val="clear" w:color="auto" w:fill="FFFFFF"/>
        </w:rPr>
        <w:t>钢无缝管，经国家石油钻采炼化设备质量监督检验中心的检测，各项性能指标达到国际先进水平，已使用于清华大学武汉装备过程有限公司的设备上及尿素高压洗</w:t>
      </w:r>
      <w:r>
        <w:rPr>
          <w:rFonts w:hint="eastAsia" w:ascii="宋体" w:hAnsi="宋体"/>
          <w:color w:val="000000"/>
          <w:sz w:val="24"/>
          <w:szCs w:val="24"/>
          <w:shd w:val="clear" w:color="auto" w:fill="FFFFFF"/>
        </w:rPr>
        <w:t>涤器、尿素合成塔设备上。</w:t>
      </w:r>
    </w:p>
    <w:p>
      <w:pPr>
        <w:spacing w:line="360" w:lineRule="auto"/>
        <w:ind w:firstLine="600" w:firstLineChars="250"/>
        <w:rPr>
          <w:rFonts w:ascii="Verdana" w:hAnsi="Verdana"/>
          <w:color w:val="000000"/>
          <w:sz w:val="24"/>
          <w:szCs w:val="24"/>
          <w:shd w:val="clear" w:color="auto" w:fill="FFFFFF"/>
        </w:rPr>
      </w:pPr>
      <w:r>
        <w:rPr>
          <w:rFonts w:hint="eastAsia" w:ascii="宋体" w:hAnsi="宋体"/>
          <w:color w:val="000000"/>
          <w:sz w:val="24"/>
          <w:szCs w:val="24"/>
          <w:shd w:val="clear" w:color="auto" w:fill="FFFFFF"/>
        </w:rPr>
        <w:t>公司生产其采购的原材料（管坯）是宝钢集团、永兴特钢、上海亚泰特钢等大中型钢厂供应，公司通过ISO9001质量管理体系和ISO14001环</w:t>
      </w:r>
      <w:r>
        <w:rPr>
          <w:rFonts w:hint="eastAsia" w:ascii="Verdana" w:hAnsi="Verdana"/>
          <w:color w:val="000000"/>
          <w:sz w:val="24"/>
          <w:szCs w:val="24"/>
          <w:shd w:val="clear" w:color="auto" w:fill="FFFFFF"/>
        </w:rPr>
        <w:t>境管理体系认证、发明专利和实用新型</w:t>
      </w:r>
      <w:r>
        <w:rPr>
          <w:rFonts w:hint="eastAsia" w:ascii="宋体" w:hAnsi="宋体"/>
          <w:color w:val="000000"/>
          <w:sz w:val="24"/>
          <w:szCs w:val="24"/>
          <w:shd w:val="clear" w:color="auto" w:fill="FFFFFF"/>
        </w:rPr>
        <w:t>专利</w:t>
      </w:r>
      <w:r>
        <w:rPr>
          <w:rFonts w:hint="eastAsia" w:ascii="宋体" w:hAnsi="宋体"/>
          <w:color w:val="000000"/>
          <w:sz w:val="24"/>
          <w:szCs w:val="24"/>
          <w:shd w:val="clear" w:color="auto" w:fill="FFFFFF"/>
          <w:lang w:val="en-US" w:eastAsia="zh-CN"/>
        </w:rPr>
        <w:t>8</w:t>
      </w:r>
      <w:r>
        <w:rPr>
          <w:rFonts w:hint="eastAsia" w:ascii="宋体" w:hAnsi="宋体"/>
          <w:color w:val="000000"/>
          <w:sz w:val="24"/>
          <w:szCs w:val="24"/>
          <w:shd w:val="clear" w:color="auto" w:fill="FFFFFF"/>
        </w:rPr>
        <w:t>项。公司拥有生产设备有：电脑控制全自动辊底式固溶炉、冷轧机组、冷拔机组等；检验设备有：超声波测厚仪、便携式材质检测仪、万能试压机、水压试</w:t>
      </w:r>
      <w:r>
        <w:rPr>
          <w:rFonts w:hint="eastAsia" w:ascii="Verdana" w:hAnsi="Verdana"/>
          <w:color w:val="000000"/>
          <w:sz w:val="24"/>
          <w:szCs w:val="24"/>
          <w:shd w:val="clear" w:color="auto" w:fill="FFFFFF"/>
        </w:rPr>
        <w:t>验机、超声波探伤仪、涡流探伤仪及德国斯派克分析仪器公司制造的直读光谱仪、低温冲击试验机、金相分析仪、晶间腐蚀试验装置、洛氏硬度机等，能有效保证产品质量。国家质量监督检验检疫总局已受理压力管道元件特种设备制造许可。</w:t>
      </w:r>
    </w:p>
    <w:p>
      <w:pPr>
        <w:spacing w:line="360" w:lineRule="auto"/>
        <w:ind w:firstLine="600" w:firstLineChars="250"/>
        <w:rPr>
          <w:rFonts w:hint="eastAsia" w:ascii="宋体" w:hAnsi="宋体"/>
          <w:color w:val="000000"/>
          <w:sz w:val="24"/>
          <w:szCs w:val="24"/>
          <w:shd w:val="clear" w:color="auto" w:fill="FFFFFF"/>
        </w:rPr>
      </w:pPr>
      <w:r>
        <w:rPr>
          <w:rFonts w:hint="eastAsia" w:ascii="Verdana" w:hAnsi="Verdana"/>
          <w:color w:val="000000"/>
          <w:sz w:val="24"/>
          <w:szCs w:val="24"/>
          <w:shd w:val="clear" w:color="auto" w:fill="FFFFFF"/>
        </w:rPr>
        <w:t>“信得达”无缝不锈</w:t>
      </w:r>
      <w:r>
        <w:rPr>
          <w:rFonts w:hint="eastAsia" w:ascii="宋体" w:hAnsi="宋体"/>
          <w:color w:val="000000"/>
          <w:sz w:val="24"/>
          <w:szCs w:val="24"/>
          <w:shd w:val="clear" w:color="auto" w:fill="FFFFFF"/>
        </w:rPr>
        <w:t>钢管连续</w:t>
      </w:r>
      <w:r>
        <w:rPr>
          <w:rFonts w:ascii="宋体" w:hAnsi="宋体"/>
          <w:color w:val="000000"/>
          <w:sz w:val="24"/>
          <w:szCs w:val="24"/>
          <w:shd w:val="clear" w:color="auto" w:fill="FFFFFF"/>
        </w:rPr>
        <w:t xml:space="preserve">8 </w:t>
      </w:r>
      <w:r>
        <w:rPr>
          <w:rFonts w:hint="eastAsia" w:ascii="宋体" w:hAnsi="宋体"/>
          <w:color w:val="000000"/>
          <w:sz w:val="24"/>
          <w:szCs w:val="24"/>
          <w:shd w:val="clear" w:color="auto" w:fill="FFFFFF"/>
        </w:rPr>
        <w:t>年被浙江省质量技术监督局定期监督检查为质量合格单位，同时被中国质量检验协会评为“全国质量检验稳定合格产品”，产品远销美国、德国、荷兰、巴西、土耳其等数十个国家与地区，深受用户好评。公司获得“温州名牌产品”、“高新技术企业”、连续</w:t>
      </w:r>
      <w:r>
        <w:rPr>
          <w:rFonts w:ascii="宋体" w:hAnsi="宋体"/>
          <w:color w:val="000000"/>
          <w:sz w:val="24"/>
          <w:szCs w:val="24"/>
          <w:shd w:val="clear" w:color="auto" w:fill="FFFFFF"/>
        </w:rPr>
        <w:t xml:space="preserve">2 </w:t>
      </w:r>
      <w:r>
        <w:rPr>
          <w:rFonts w:hint="eastAsia" w:ascii="宋体" w:hAnsi="宋体"/>
          <w:color w:val="000000"/>
          <w:sz w:val="24"/>
          <w:szCs w:val="24"/>
          <w:shd w:val="clear" w:color="auto" w:fill="FFFFFF"/>
        </w:rPr>
        <w:t>年</w:t>
      </w:r>
      <w:r>
        <w:rPr>
          <w:rFonts w:hint="eastAsia" w:ascii="Verdana" w:hAnsi="Verdana"/>
          <w:color w:val="000000"/>
          <w:sz w:val="24"/>
          <w:szCs w:val="24"/>
          <w:shd w:val="clear" w:color="auto" w:fill="FFFFFF"/>
        </w:rPr>
        <w:t>被温州市政府评为“成长型中小企业”</w:t>
      </w:r>
      <w:r>
        <w:rPr>
          <w:rFonts w:hint="eastAsia" w:ascii="宋体" w:hAnsi="宋体"/>
          <w:color w:val="000000"/>
          <w:sz w:val="24"/>
          <w:szCs w:val="24"/>
          <w:shd w:val="clear" w:color="auto" w:fill="FFFFFF"/>
        </w:rPr>
        <w:t>，健全完善管理机制和全员参与的利益分享系列机制，让员工与企业紧密联系、形成命运共同体，携手共创新世纪的辉煌。</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textAlignment w:val="auto"/>
        <w:rPr>
          <w:rFonts w:hint="default"/>
          <w:spacing w:val="-1"/>
          <w:lang w:val="en-US" w:eastAsia="zh-CN"/>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textAlignment w:val="auto"/>
        <w:rPr>
          <w:rFonts w:hint="default"/>
          <w:spacing w:val="-1"/>
          <w:lang w:val="en-US" w:eastAsia="zh-CN"/>
        </w:rPr>
      </w:pPr>
    </w:p>
    <w:p>
      <w:pPr>
        <w:pStyle w:val="2"/>
        <w:spacing w:before="143"/>
        <w:ind w:left="0"/>
        <w:rPr>
          <w:b/>
          <w:bCs/>
        </w:rPr>
      </w:pPr>
      <w:r>
        <w:rPr>
          <w:b/>
          <w:bCs/>
        </w:rPr>
        <w:t>一、责任聚焦</w:t>
      </w:r>
      <w:bookmarkEnd w:id="2"/>
    </w:p>
    <w:p>
      <w:pPr>
        <w:pStyle w:val="4"/>
        <w:spacing w:before="6"/>
        <w:ind w:left="0"/>
        <w:rPr>
          <w:sz w:val="22"/>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textAlignment w:val="auto"/>
      </w:pPr>
      <w:r>
        <w:rPr>
          <w:spacing w:val="-1"/>
        </w:rPr>
        <w:t>一个企业最大的社会责任，就是要让公司健康发展，为社会创造更多价值。</w:t>
      </w:r>
      <w:r>
        <w:rPr>
          <w:spacing w:val="-6"/>
        </w:rPr>
        <w:t>一家成功的公司会解决就业、缴税、员工福利、环境保护等问题，同时为政府纳税，政府税收又会通过多种方式完成相应的社会责任。</w:t>
      </w:r>
    </w:p>
    <w:p>
      <w:pPr>
        <w:pStyle w:val="16"/>
        <w:keepNext w:val="0"/>
        <w:keepLines w:val="0"/>
        <w:pageBreakBefore w:val="0"/>
        <w:widowControl w:val="0"/>
        <w:numPr>
          <w:ilvl w:val="0"/>
          <w:numId w:val="0"/>
        </w:numPr>
        <w:tabs>
          <w:tab w:val="left" w:pos="600"/>
        </w:tabs>
        <w:kinsoku/>
        <w:wordWrap/>
        <w:overflowPunct/>
        <w:topLinePunct w:val="0"/>
        <w:autoSpaceDE w:val="0"/>
        <w:autoSpaceDN w:val="0"/>
        <w:bidi w:val="0"/>
        <w:adjustRightInd/>
        <w:snapToGrid/>
        <w:spacing w:before="0" w:line="360" w:lineRule="auto"/>
        <w:ind w:leftChars="200" w:right="0" w:rightChars="0"/>
        <w:textAlignment w:val="auto"/>
        <w:rPr>
          <w:sz w:val="24"/>
        </w:rPr>
      </w:pPr>
      <w:r>
        <w:rPr>
          <w:rFonts w:hint="eastAsia"/>
          <w:sz w:val="24"/>
          <w:lang w:val="en-US" w:eastAsia="zh-CN"/>
        </w:rPr>
        <w:t xml:space="preserve">1.1 </w:t>
      </w:r>
      <w:r>
        <w:rPr>
          <w:sz w:val="24"/>
        </w:rPr>
        <w:t>社会责任观</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44" w:firstLineChars="200"/>
        <w:jc w:val="both"/>
        <w:textAlignment w:val="auto"/>
        <w:rPr>
          <w:rFonts w:ascii="宋体" w:hAnsi="宋体" w:eastAsia="宋体" w:cs="宋体"/>
          <w:spacing w:val="-5"/>
        </w:rPr>
      </w:pPr>
      <w:r>
        <w:rPr>
          <w:spacing w:val="-9"/>
        </w:rPr>
        <w:t>随着全球化经济的不断发展，可持续发展的理念已经成为许多国际型企业发展战略的核心。支持社会公益事业，倡导社会环境的可持续发展，做负社会责任</w:t>
      </w:r>
      <w:r>
        <w:rPr>
          <w:spacing w:val="-10"/>
        </w:rPr>
        <w:t>的企业公民，已成为企业公共关系的重要主题。在企业发展的过程中，我们逐渐认识到，公共关系策略不再是简单地运用产品进行促销，基于传统营销传播观念</w:t>
      </w:r>
      <w:r>
        <w:rPr>
          <w:spacing w:val="-5"/>
        </w:rPr>
        <w:t>的公共关系已经远远不能适应时代潮流</w:t>
      </w:r>
      <w:r>
        <w:rPr>
          <w:rFonts w:ascii="宋体" w:hAnsi="宋体" w:eastAsia="宋体" w:cs="宋体"/>
          <w:spacing w:val="-5"/>
        </w:rPr>
        <w:t>以及公众对环保的需要，取而代之的应该是企业对社会责任的承诺与行动，它们不但应该融入企业的发展战略，而且应成为公共关系传播的出发点和着眼点。于是我们始终把</w:t>
      </w:r>
      <w:r>
        <w:rPr>
          <w:rFonts w:hint="eastAsia" w:cs="宋体"/>
          <w:spacing w:val="-5"/>
          <w:lang w:val="en-US" w:eastAsia="zh-CN"/>
        </w:rPr>
        <w:t>为客户提供优质的产品和专业的服务</w:t>
      </w:r>
      <w:r>
        <w:rPr>
          <w:rFonts w:ascii="宋体" w:hAnsi="宋体" w:eastAsia="宋体" w:cs="宋体"/>
          <w:spacing w:val="-5"/>
        </w:rPr>
        <w:t>视为企业经营的长远战略，视为企业发展战略的精髓，视为企业文化的核心基石。</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52" w:firstLineChars="200"/>
        <w:textAlignment w:val="auto"/>
        <w:rPr>
          <w:spacing w:val="-7"/>
        </w:rPr>
      </w:pPr>
      <w:r>
        <w:rPr>
          <w:spacing w:val="-7"/>
        </w:rPr>
        <w:t>企业社会责任不是口号，我们创立之初就确定我们是一个价值观公司，没有历史，社会责任是无根的；没有对未来的承诺，社会责任是短命的。多年来，公司坚持以“</w:t>
      </w:r>
      <w:r>
        <w:rPr>
          <w:rFonts w:hint="eastAsia"/>
          <w:spacing w:val="-7"/>
          <w:lang w:val="en-US" w:eastAsia="zh-CN"/>
        </w:rPr>
        <w:t>为客户提供优质的产品和专业的服务</w:t>
      </w:r>
      <w:r>
        <w:rPr>
          <w:spacing w:val="-7"/>
        </w:rPr>
        <w:t>”作为企业使命，以“</w:t>
      </w:r>
      <w:r>
        <w:rPr>
          <w:rFonts w:hint="eastAsia"/>
          <w:spacing w:val="-7"/>
          <w:lang w:val="en-US" w:eastAsia="zh-CN"/>
        </w:rPr>
        <w:t>走科技之路，创国际品牌</w:t>
      </w:r>
      <w:r>
        <w:rPr>
          <w:spacing w:val="-7"/>
        </w:rPr>
        <w:t>”作为公司</w:t>
      </w:r>
      <w:r>
        <w:rPr>
          <w:rFonts w:hint="eastAsia"/>
          <w:spacing w:val="-7"/>
          <w:lang w:val="en-US"/>
        </w:rPr>
        <w:t>愿景</w:t>
      </w:r>
      <w:r>
        <w:rPr>
          <w:spacing w:val="-7"/>
        </w:rPr>
        <w:t>，以“</w:t>
      </w:r>
      <w:r>
        <w:rPr>
          <w:rFonts w:hint="eastAsia"/>
          <w:highlight w:val="none"/>
          <w:lang w:val="en-US" w:eastAsia="zh-CN"/>
        </w:rPr>
        <w:t>诚信、创新，为顾客创造价值</w:t>
      </w:r>
      <w:r>
        <w:rPr>
          <w:spacing w:val="-7"/>
        </w:rPr>
        <w:t>”为</w:t>
      </w:r>
      <w:r>
        <w:rPr>
          <w:rFonts w:hint="eastAsia"/>
          <w:spacing w:val="-7"/>
          <w:lang w:val="en-US"/>
        </w:rPr>
        <w:t>公司核心价值观</w:t>
      </w:r>
      <w:r>
        <w:rPr>
          <w:spacing w:val="-7"/>
        </w:rPr>
        <w:t>，在履行企业社会责任中做了大量工作。</w:t>
      </w:r>
    </w:p>
    <w:p>
      <w:pPr>
        <w:pStyle w:val="16"/>
        <w:numPr>
          <w:ilvl w:val="1"/>
          <w:numId w:val="2"/>
        </w:numPr>
        <w:tabs>
          <w:tab w:val="left" w:pos="600"/>
        </w:tabs>
        <w:spacing w:line="360" w:lineRule="auto"/>
        <w:ind w:hanging="481"/>
        <w:rPr>
          <w:sz w:val="24"/>
        </w:rPr>
      </w:pPr>
      <w:r>
        <w:rPr>
          <w:sz w:val="24"/>
        </w:rPr>
        <w:t>利益相关方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mc:AlternateContent>
          <mc:Choice Requires="wps">
            <w:drawing>
              <wp:anchor distT="0" distB="0" distL="114300" distR="114300" simplePos="0" relativeHeight="251659264" behindDoc="0" locked="0" layoutInCell="1" allowOverlap="1">
                <wp:simplePos x="0" y="0"/>
                <wp:positionH relativeFrom="page">
                  <wp:posOffset>1132205</wp:posOffset>
                </wp:positionH>
                <wp:positionV relativeFrom="paragraph">
                  <wp:posOffset>965200</wp:posOffset>
                </wp:positionV>
                <wp:extent cx="5443855" cy="1575435"/>
                <wp:effectExtent l="0" t="0" r="0" b="0"/>
                <wp:wrapNone/>
                <wp:docPr id="1" name="文本框 2"/>
                <wp:cNvGraphicFramePr/>
                <a:graphic xmlns:a="http://schemas.openxmlformats.org/drawingml/2006/main">
                  <a:graphicData uri="http://schemas.microsoft.com/office/word/2010/wordprocessingShape">
                    <wps:wsp>
                      <wps:cNvSpPr txBox="1"/>
                      <wps:spPr>
                        <a:xfrm>
                          <a:off x="0" y="0"/>
                          <a:ext cx="5443855" cy="1575435"/>
                        </a:xfrm>
                        <a:prstGeom prst="rect">
                          <a:avLst/>
                        </a:prstGeom>
                        <a:noFill/>
                        <a:ln>
                          <a:noFill/>
                        </a:ln>
                      </wps:spPr>
                      <wps:txbx>
                        <w:txbxContent>
                          <w:tbl>
                            <w:tblPr>
                              <w:tblStyle w:val="11"/>
                              <w:tblW w:w="837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shd w:val="clear" w:color="auto" w:fill="548DD4" w:themeFill="text2" w:themeFillTint="99"/>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利益相关方</w:t>
                                  </w:r>
                                </w:p>
                              </w:tc>
                              <w:tc>
                                <w:tcPr>
                                  <w:tcW w:w="6396" w:type="dxa"/>
                                  <w:shd w:val="clear" w:color="auto" w:fill="548DD4" w:themeFill="text2" w:themeFillTint="99"/>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责任与举措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投资者</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准确及时披露经营状况和重大事项信息，提供合理投资回报遵循责任经营和责任投资的基本原则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客 户</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提供优质的产品和服务；产品具有安全性和便利性；持续提升客户满意度；及时合规的信息沟通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员 工</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维护员工合法权益；创造良好的工作环境；给予合理的待遇提供教育和培训，为员工创造发展空间</w:t>
                                  </w:r>
                                </w:p>
                              </w:tc>
                            </w:tr>
                          </w:tbl>
                          <w:p>
                            <w:pPr>
                              <w:pStyle w:val="4"/>
                              <w:ind w:left="0"/>
                              <w:rPr>
                                <w:highlight w:val="yellow"/>
                              </w:rPr>
                            </w:pPr>
                          </w:p>
                        </w:txbxContent>
                      </wps:txbx>
                      <wps:bodyPr lIns="0" tIns="0" rIns="0" bIns="0" upright="1"/>
                    </wps:wsp>
                  </a:graphicData>
                </a:graphic>
              </wp:anchor>
            </w:drawing>
          </mc:Choice>
          <mc:Fallback>
            <w:pict>
              <v:shape id="文本框 2" o:spid="_x0000_s1026" o:spt="202" type="#_x0000_t202" style="position:absolute;left:0pt;margin-left:89.15pt;margin-top:76pt;height:124.05pt;width:428.65pt;mso-position-horizontal-relative:page;z-index:251659264;mso-width-relative:page;mso-height-relative:page;" filled="f" stroked="f" coordsize="21600,21600" o:gfxdata="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0q74O2QAAAAwBAAAPAAAAAAAAAAEAIAAAACIAAABkcnMvZG93bnJldi54bWxQ&#10;SwECFAAUAAAACACHTuJAKKhbm70BAABzAwAADgAAAAAAAAABACAAAAAoAQAAZHJzL2Uyb0RvYy54&#10;bWxQSwUGAAAAAAYABgBZAQAAVwUAAAAA&#10;">
                <v:fill on="f" focussize="0,0"/>
                <v:stroke on="f"/>
                <v:imagedata o:title=""/>
                <o:lock v:ext="edit" aspectratio="f"/>
                <v:textbox inset="0mm,0mm,0mm,0mm">
                  <w:txbxContent>
                    <w:tbl>
                      <w:tblPr>
                        <w:tblStyle w:val="11"/>
                        <w:tblW w:w="837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shd w:val="clear" w:color="auto" w:fill="548DD4" w:themeFill="text2" w:themeFillTint="99"/>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利益相关方</w:t>
                            </w:r>
                          </w:p>
                        </w:tc>
                        <w:tc>
                          <w:tcPr>
                            <w:tcW w:w="6396" w:type="dxa"/>
                            <w:shd w:val="clear" w:color="auto" w:fill="548DD4" w:themeFill="text2" w:themeFillTint="99"/>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责任与举措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投资者</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准确及时披露经营状况和重大事项信息，提供合理投资回报遵循责任经营和责任投资的基本原则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客 户</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提供优质的产品和服务；产品具有安全性和便利性；持续提升客户满意度；及时合规的信息沟通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员 工</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维护员工合法权益；创造良好的工作环境；给予合理的待遇提供教育和培训，为员工创造发展空间</w:t>
                            </w:r>
                          </w:p>
                        </w:tc>
                      </w:tr>
                    </w:tbl>
                    <w:p>
                      <w:pPr>
                        <w:pStyle w:val="4"/>
                        <w:ind w:left="0"/>
                        <w:rPr>
                          <w:highlight w:val="yellow"/>
                        </w:rPr>
                      </w:pPr>
                    </w:p>
                  </w:txbxContent>
                </v:textbox>
              </v:shape>
            </w:pict>
          </mc:Fallback>
        </mc:AlternateContent>
      </w:r>
      <w:r>
        <w:t>企业所有的利益相关者的利益都是通过企业共同愿景的实现来达成的。没有共同的愿景，缺乏共同的信念，就没有利益相关的前提。所以,认同共同的企业愿景和价值观，是建设和完善企业与利益方关系管理体系的前提和基础。</w:t>
      </w:r>
    </w:p>
    <w:p>
      <w:pPr>
        <w:spacing w:line="386" w:lineRule="auto"/>
        <w:jc w:val="both"/>
        <w:sectPr>
          <w:footerReference r:id="rId7" w:type="default"/>
          <w:pgSz w:w="11910" w:h="16840"/>
          <w:pgMar w:top="1420" w:right="1440" w:bottom="1380" w:left="1680" w:header="877" w:footer="1197" w:gutter="0"/>
          <w:pgBorders>
            <w:top w:val="none" w:sz="0" w:space="0"/>
            <w:left w:val="none" w:sz="0" w:space="0"/>
            <w:bottom w:val="none" w:sz="0" w:space="0"/>
            <w:right w:val="none" w:sz="0" w:space="0"/>
          </w:pgBorders>
          <w:pgNumType w:start="1"/>
          <w:cols w:space="720" w:num="1"/>
        </w:sectPr>
      </w:pPr>
    </w:p>
    <w:tbl>
      <w:tblPr>
        <w:tblStyle w:val="11"/>
        <w:tblW w:w="8376"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合作伙伴</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实行公平采购；协助履行社会责任；建立相互尊重的合作关系；坚持诚实守信，维护企业的信誉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政 府</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依法纳税，提供就业机会，带动地方经济发展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自然环境</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推行绿色生产，实践环保经营，倡导节能减排，开展水资源保护，改善自然生态系统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社区居民</w:t>
            </w:r>
          </w:p>
        </w:tc>
        <w:tc>
          <w:tcPr>
            <w:tcW w:w="6396"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参与社会公益活动，为社会可持续、和谐发展做贡献</w:t>
            </w:r>
          </w:p>
        </w:tc>
      </w:tr>
    </w:tbl>
    <w:p>
      <w:pPr>
        <w:pStyle w:val="4"/>
        <w:spacing w:before="10"/>
        <w:ind w:left="0"/>
        <w:rPr>
          <w:sz w:val="7"/>
        </w:rPr>
      </w:pPr>
    </w:p>
    <w:p>
      <w:pPr>
        <w:pStyle w:val="16"/>
        <w:keepNext w:val="0"/>
        <w:keepLines w:val="0"/>
        <w:pageBreakBefore w:val="0"/>
        <w:widowControl w:val="0"/>
        <w:numPr>
          <w:ilvl w:val="0"/>
          <w:numId w:val="0"/>
        </w:numPr>
        <w:tabs>
          <w:tab w:val="left" w:pos="600"/>
        </w:tabs>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sz w:val="24"/>
        </w:rPr>
      </w:pPr>
      <w:r>
        <w:rPr>
          <w:rFonts w:hint="eastAsia"/>
          <w:sz w:val="24"/>
          <w:lang w:val="en-US" w:eastAsia="zh-CN"/>
        </w:rPr>
        <w:t xml:space="preserve">1.2 </w:t>
      </w:r>
      <w:r>
        <w:rPr>
          <w:sz w:val="24"/>
        </w:rPr>
        <w:t>责任体系</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56" w:firstLineChars="200"/>
        <w:jc w:val="both"/>
        <w:textAlignment w:val="auto"/>
      </w:pPr>
      <w:r>
        <w:rPr>
          <w:spacing w:val="-6"/>
        </w:rPr>
        <w:t>对利益相关者的法律责任，这一责任主要包括企业根据《中华人民共和国公</w:t>
      </w:r>
      <w:r>
        <w:rPr>
          <w:spacing w:val="-13"/>
        </w:rPr>
        <w:t>司法》、 《中华人民共和国合同法》等法律法规，对出资人、债权人、供应商、</w:t>
      </w:r>
      <w:r>
        <w:rPr>
          <w:spacing w:val="-9"/>
        </w:rPr>
        <w:t>合作商、客户、社区及其它社会团体等所有利益相关者必须遵守各类合同，按照</w:t>
      </w:r>
      <w:r>
        <w:rPr>
          <w:spacing w:val="-14"/>
        </w:rPr>
        <w:t>法律规定进行利益分配，为社会提供最基本的产品和服务质量保证，不损害企业所在社区的合法权益，不影响其它社会团体的利益等内容。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48" w:firstLineChars="200"/>
        <w:jc w:val="both"/>
        <w:textAlignment w:val="auto"/>
      </w:pPr>
      <w:r>
        <w:rPr>
          <w:spacing w:val="-8"/>
        </w:rPr>
        <w:t>对环境的法律责任，这一责任主要包括企业根据《中华人民共和国环境保护</w:t>
      </w:r>
      <w:r>
        <w:rPr>
          <w:spacing w:val="-10"/>
        </w:rPr>
        <w:t>法》等法律法规，在生产经营活动中必须履行资源和能耗的节约标准，必须达到</w:t>
      </w:r>
      <w:r>
        <w:rPr>
          <w:spacing w:val="-16"/>
        </w:rPr>
        <w:t xml:space="preserve">国家强制规定的污染排放标准，对不能达标的项目必须加强技术改造和污染治理， </w:t>
      </w:r>
      <w:r>
        <w:t>努力达到国家规定的各项环保标准等内容。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44" w:firstLineChars="200"/>
        <w:jc w:val="both"/>
        <w:textAlignment w:val="auto"/>
      </w:pPr>
      <w:r>
        <w:rPr>
          <w:spacing w:val="-9"/>
        </w:rPr>
        <w:t>对员工的法律责任，这一责任主要包括企业根据《中华人民共和国劳动合同</w:t>
      </w:r>
      <w:r>
        <w:rPr>
          <w:spacing w:val="-12"/>
        </w:rPr>
        <w:t>法》等法律法规，必须为员工生产提供安全保障，必须按照国家政策保证员工的</w:t>
      </w:r>
      <w:r>
        <w:rPr>
          <w:spacing w:val="-8"/>
        </w:rPr>
        <w:t>各项福利待遇，必须为员工办理各种国家所规定的生育、失业、养老、疾病等基</w:t>
      </w:r>
      <w:r>
        <w:t>本社会保险等内容。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44" w:firstLineChars="200"/>
        <w:jc w:val="both"/>
        <w:textAlignment w:val="auto"/>
      </w:pPr>
      <w:r>
        <w:rPr>
          <w:spacing w:val="-9"/>
        </w:rPr>
        <w:t>对社会的法律责任，这一责任主要包括企业根据《中华人民共和国企业所得</w:t>
      </w:r>
      <w:r>
        <w:rPr>
          <w:spacing w:val="-21"/>
        </w:rPr>
        <w:t>税法》、《中华人民共和国增值税暂行条例》等法律法规，必须完成所得税、增值</w:t>
      </w:r>
      <w:r>
        <w:t>税等各种利税上缴等责任。</w:t>
      </w:r>
    </w:p>
    <w:p>
      <w:r>
        <w:br w:type="page"/>
      </w:r>
    </w:p>
    <w:p>
      <w:pPr>
        <w:pStyle w:val="2"/>
        <w:keepNext w:val="0"/>
        <w:keepLines w:val="0"/>
        <w:pageBreakBefore w:val="0"/>
        <w:widowControl w:val="0"/>
        <w:kinsoku/>
        <w:wordWrap/>
        <w:overflowPunct/>
        <w:topLinePunct w:val="0"/>
        <w:autoSpaceDE w:val="0"/>
        <w:autoSpaceDN w:val="0"/>
        <w:bidi w:val="0"/>
        <w:adjustRightInd/>
        <w:snapToGrid/>
        <w:spacing w:line="360" w:lineRule="auto"/>
        <w:ind w:left="0" w:right="0" w:firstLine="562" w:firstLineChars="200"/>
        <w:textAlignment w:val="auto"/>
        <w:rPr>
          <w:b/>
          <w:bCs/>
        </w:rPr>
      </w:pPr>
      <w:bookmarkStart w:id="3" w:name="二、战略与管理"/>
      <w:bookmarkEnd w:id="3"/>
      <w:bookmarkStart w:id="4" w:name="_Toc24531706"/>
      <w:r>
        <w:rPr>
          <w:b/>
          <w:bCs/>
        </w:rPr>
        <w:t>二、战略与管理</w:t>
      </w:r>
      <w:bookmarkEnd w:id="4"/>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lang w:val="en-US" w:eastAsia="zh-CN"/>
        </w:rPr>
        <w:t>1、</w:t>
      </w:r>
      <w:r>
        <w:rPr>
          <w:rFonts w:hint="eastAsia"/>
        </w:rPr>
        <w:t>构建独具特色的企业文化并向相关方沟通宣贯</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企业文化是企业的思维方式和行事准则，是企业个性化的体现。它是植根于企业内部的精神载体，可以促进组织的管理发展，增强企业凝聚力，是一个企业的旗帜、灵魂和方向。从成立之初，随着企业的创立、成长与发展，</w:t>
      </w:r>
      <w:r>
        <w:rPr>
          <w:rFonts w:hint="eastAsia"/>
          <w:lang w:val="en-US" w:eastAsia="zh-CN"/>
        </w:rPr>
        <w:t>信得达</w:t>
      </w:r>
      <w:r>
        <w:rPr>
          <w:rFonts w:hint="eastAsia"/>
          <w:lang w:val="en-US"/>
        </w:rPr>
        <w:t>已</w:t>
      </w:r>
      <w:r>
        <w:rPr>
          <w:rFonts w:hint="eastAsia"/>
        </w:rPr>
        <w:t>逐步形成了其独具特色的企业文化体系。</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1）确立以使命、愿景和价值观为和核心的文化</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sz w:val="24"/>
          <w:szCs w:val="24"/>
          <w:lang w:val="en-US"/>
        </w:rPr>
      </w:pPr>
      <w:r>
        <w:rPr>
          <w:rFonts w:hint="eastAsia"/>
          <w:sz w:val="24"/>
          <w:szCs w:val="24"/>
          <w:highlight w:val="none"/>
          <w:lang w:val="en-US"/>
        </w:rPr>
        <w:t>通过对市场进行详细调</w:t>
      </w:r>
      <w:r>
        <w:rPr>
          <w:rFonts w:hint="eastAsia" w:ascii="宋体" w:hAnsi="宋体" w:eastAsia="宋体" w:cs="宋体"/>
          <w:sz w:val="24"/>
          <w:szCs w:val="24"/>
          <w:highlight w:val="none"/>
          <w:lang w:val="en-US"/>
        </w:rPr>
        <w:t>查，于</w:t>
      </w:r>
      <w:r>
        <w:rPr>
          <w:rFonts w:hint="eastAsia" w:cs="宋体"/>
          <w:sz w:val="24"/>
          <w:szCs w:val="24"/>
          <w:highlight w:val="none"/>
          <w:lang w:val="en-US" w:eastAsia="zh-CN"/>
        </w:rPr>
        <w:t>1997</w:t>
      </w:r>
      <w:r>
        <w:rPr>
          <w:rFonts w:hint="eastAsia" w:ascii="宋体" w:hAnsi="宋体" w:eastAsia="宋体" w:cs="宋体"/>
          <w:sz w:val="24"/>
          <w:szCs w:val="24"/>
          <w:highlight w:val="none"/>
          <w:lang w:val="en-US"/>
        </w:rPr>
        <w:t>年在</w:t>
      </w:r>
      <w:r>
        <w:rPr>
          <w:rFonts w:hint="eastAsia" w:cs="宋体"/>
          <w:sz w:val="24"/>
          <w:szCs w:val="24"/>
          <w:highlight w:val="none"/>
          <w:lang w:val="en-US" w:eastAsia="zh-CN"/>
        </w:rPr>
        <w:t>温州市龙湾区永中街道天中路938号</w:t>
      </w:r>
      <w:r>
        <w:rPr>
          <w:rFonts w:hint="eastAsia" w:ascii="宋体" w:hAnsi="宋体" w:eastAsia="宋体" w:cs="宋体"/>
          <w:sz w:val="24"/>
          <w:szCs w:val="24"/>
          <w:highlight w:val="none"/>
          <w:lang w:val="en-US"/>
        </w:rPr>
        <w:t>成立</w:t>
      </w:r>
      <w:r>
        <w:rPr>
          <w:rFonts w:hint="eastAsia" w:cs="宋体"/>
          <w:sz w:val="24"/>
          <w:szCs w:val="24"/>
          <w:highlight w:val="none"/>
          <w:lang w:val="en-US" w:eastAsia="zh-CN"/>
        </w:rPr>
        <w:t>浙江信得达特种管业有限公司</w:t>
      </w:r>
      <w:r>
        <w:rPr>
          <w:rFonts w:hint="eastAsia"/>
          <w:sz w:val="24"/>
          <w:szCs w:val="24"/>
          <w:highlight w:val="none"/>
          <w:lang w:val="en-US"/>
        </w:rPr>
        <w:t>，专业从事</w:t>
      </w:r>
      <w:r>
        <w:rPr>
          <w:rFonts w:hint="eastAsia"/>
          <w:sz w:val="24"/>
          <w:szCs w:val="24"/>
          <w:highlight w:val="none"/>
          <w:lang w:val="en-US" w:eastAsia="zh-CN"/>
        </w:rPr>
        <w:t>不锈钢无缝钢管高品质产品研发、</w:t>
      </w:r>
      <w:r>
        <w:rPr>
          <w:rFonts w:hint="eastAsia"/>
          <w:sz w:val="24"/>
          <w:szCs w:val="24"/>
          <w:highlight w:val="none"/>
          <w:lang w:val="en-US"/>
        </w:rPr>
        <w:t>生产和销售一体化经营管理活动。公司通过质量管理体系</w:t>
      </w:r>
      <w:r>
        <w:rPr>
          <w:rFonts w:hint="eastAsia"/>
          <w:sz w:val="24"/>
          <w:szCs w:val="24"/>
          <w:highlight w:val="none"/>
          <w:lang w:val="en-US" w:eastAsia="zh-CN"/>
        </w:rPr>
        <w:t>，导入</w:t>
      </w:r>
      <w:r>
        <w:rPr>
          <w:rFonts w:hint="eastAsia"/>
          <w:sz w:val="24"/>
          <w:szCs w:val="24"/>
          <w:highlight w:val="none"/>
          <w:lang w:val="en-US"/>
        </w:rPr>
        <w:t>环境管理体系和职业健康安全管理体系认证，一直保持体系运行，每年接受认证机构的监督审核；经过多年的体系运行，在内部管理方面日益提高。</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sz w:val="24"/>
          <w:szCs w:val="24"/>
          <w:lang w:val="en-US"/>
        </w:rPr>
      </w:pPr>
      <w:r>
        <w:rPr>
          <w:rFonts w:hint="eastAsia"/>
          <w:sz w:val="24"/>
          <w:szCs w:val="24"/>
          <w:lang w:val="en-US"/>
        </w:rPr>
        <w:t>公司经过多年的运营，积累了较多的管理经验，培养了一批专业的管理人员、设计人员和操作能手，产品质量稳定，在顾客群中有较高的认可度。</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rFonts w:hint="eastAsia"/>
          <w:sz w:val="24"/>
          <w:szCs w:val="24"/>
          <w:lang w:val="en-US"/>
        </w:rPr>
      </w:pPr>
      <w:r>
        <w:rPr>
          <w:rFonts w:hint="eastAsia"/>
          <w:sz w:val="24"/>
          <w:szCs w:val="24"/>
          <w:lang w:val="en-US" w:eastAsia="zh-CN"/>
        </w:rPr>
        <w:t>信得达</w:t>
      </w:r>
      <w:r>
        <w:rPr>
          <w:rFonts w:hint="eastAsia"/>
          <w:sz w:val="24"/>
          <w:szCs w:val="24"/>
          <w:lang w:val="en-US"/>
        </w:rPr>
        <w:t>自创立以来，基于行业特点及企业发展逐步凝练了核心价值观，并随着公司的发展而不断调整和提升，最终提炼形成了公司的核心价值理念体系。</w:t>
      </w:r>
    </w:p>
    <w:p>
      <w:pPr>
        <w:pStyle w:val="4"/>
        <w:spacing w:before="166" w:line="386" w:lineRule="auto"/>
        <w:ind w:right="359" w:firstLine="480"/>
        <w:jc w:val="center"/>
        <w:rPr>
          <w:rFonts w:hint="eastAsia"/>
          <w:sz w:val="21"/>
          <w:szCs w:val="21"/>
          <w:lang w:val="en-US"/>
        </w:rPr>
      </w:pPr>
      <w:r>
        <w:rPr>
          <w:rFonts w:hint="eastAsia"/>
          <w:sz w:val="21"/>
          <w:szCs w:val="21"/>
        </w:rPr>
        <w:t>表</w:t>
      </w:r>
      <w:r>
        <w:rPr>
          <w:rFonts w:hint="eastAsia"/>
          <w:sz w:val="21"/>
          <w:szCs w:val="21"/>
          <w:lang w:val="en-US"/>
        </w:rPr>
        <w:t>2</w:t>
      </w:r>
      <w:r>
        <w:rPr>
          <w:rFonts w:hint="eastAsia"/>
          <w:sz w:val="21"/>
          <w:szCs w:val="21"/>
        </w:rPr>
        <w:t>.1-</w:t>
      </w:r>
      <w:r>
        <w:rPr>
          <w:rFonts w:hint="eastAsia"/>
          <w:sz w:val="21"/>
          <w:szCs w:val="21"/>
          <w:lang w:val="en-US"/>
        </w:rPr>
        <w:t>1</w:t>
      </w:r>
      <w:r>
        <w:rPr>
          <w:rFonts w:hint="eastAsia"/>
          <w:sz w:val="21"/>
          <w:szCs w:val="21"/>
        </w:rPr>
        <w:t xml:space="preserve"> 企业文化体系</w:t>
      </w:r>
    </w:p>
    <w:tbl>
      <w:tblPr>
        <w:tblStyle w:val="11"/>
        <w:tblW w:w="890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8"/>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698" w:type="dxa"/>
            <w:shd w:val="clear" w:color="auto" w:fill="4472C4"/>
            <w:vAlign w:val="center"/>
          </w:tcPr>
          <w:p>
            <w:pPr>
              <w:jc w:val="center"/>
              <w:rPr>
                <w:rFonts w:ascii="Arial" w:hAnsi="Arial"/>
                <w:b/>
                <w:bCs/>
                <w:color w:val="000000"/>
                <w:sz w:val="21"/>
                <w:szCs w:val="21"/>
              </w:rPr>
            </w:pPr>
            <w:r>
              <w:rPr>
                <w:rFonts w:hint="eastAsia" w:ascii="Arial" w:hAnsi="Arial"/>
                <w:b/>
                <w:bCs/>
                <w:color w:val="000000"/>
                <w:sz w:val="21"/>
                <w:szCs w:val="21"/>
              </w:rPr>
              <w:t>文化构成</w:t>
            </w:r>
          </w:p>
        </w:tc>
        <w:tc>
          <w:tcPr>
            <w:tcW w:w="7208" w:type="dxa"/>
            <w:shd w:val="clear" w:color="auto" w:fill="4472C4"/>
            <w:vAlign w:val="center"/>
          </w:tcPr>
          <w:p>
            <w:pPr>
              <w:jc w:val="center"/>
              <w:rPr>
                <w:rFonts w:ascii="Arial" w:hAnsi="Arial"/>
                <w:b/>
                <w:bCs/>
                <w:color w:val="000000"/>
                <w:sz w:val="21"/>
                <w:szCs w:val="21"/>
              </w:rPr>
            </w:pPr>
            <w:r>
              <w:rPr>
                <w:rFonts w:hint="eastAsia" w:ascii="Arial" w:hAnsi="Arial"/>
                <w:b/>
                <w:bCs/>
                <w:color w:val="000000"/>
                <w:sz w:val="21"/>
                <w:szCs w:val="21"/>
              </w:rPr>
              <w:t>表述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使命</w:t>
            </w:r>
          </w:p>
        </w:tc>
        <w:tc>
          <w:tcPr>
            <w:tcW w:w="7208" w:type="dxa"/>
            <w:shd w:val="clear" w:color="auto" w:fill="auto"/>
            <w:vAlign w:val="center"/>
          </w:tcPr>
          <w:p>
            <w:pPr>
              <w:widowControl/>
              <w:spacing w:line="240" w:lineRule="auto"/>
              <w:jc w:val="center"/>
              <w:rPr>
                <w:rFonts w:hint="default"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kern w:val="2"/>
                <w:sz w:val="21"/>
                <w:szCs w:val="21"/>
                <w:lang w:val="en-US" w:eastAsia="zh-CN" w:bidi="ar-SA"/>
              </w:rPr>
              <w:t>为客户提供优质的产品和专业的服务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愿景</w:t>
            </w:r>
          </w:p>
        </w:tc>
        <w:tc>
          <w:tcPr>
            <w:tcW w:w="7208" w:type="dxa"/>
            <w:shd w:val="clear" w:color="auto" w:fill="auto"/>
            <w:vAlign w:val="center"/>
          </w:tcPr>
          <w:p>
            <w:pPr>
              <w:widowControl/>
              <w:spacing w:line="240" w:lineRule="auto"/>
              <w:jc w:val="center"/>
              <w:rPr>
                <w:rFonts w:hint="default"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kern w:val="2"/>
                <w:sz w:val="21"/>
                <w:szCs w:val="21"/>
                <w:lang w:val="en-US" w:eastAsia="zh-CN" w:bidi="ar-SA"/>
              </w:rPr>
              <w:t>走科技之路，创国际品牌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价值观</w:t>
            </w:r>
          </w:p>
        </w:tc>
        <w:tc>
          <w:tcPr>
            <w:tcW w:w="7208" w:type="dxa"/>
            <w:shd w:val="clear" w:color="auto" w:fill="auto"/>
            <w:vAlign w:val="center"/>
          </w:tcPr>
          <w:p>
            <w:pPr>
              <w:widowControl/>
              <w:spacing w:line="240" w:lineRule="auto"/>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kern w:val="2"/>
                <w:sz w:val="21"/>
                <w:szCs w:val="21"/>
                <w:lang w:val="en-US" w:eastAsia="zh-CN" w:bidi="ar-SA"/>
              </w:rPr>
              <w:t>诚信、创新，为顾客创造价值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经营理念</w:t>
            </w:r>
          </w:p>
        </w:tc>
        <w:tc>
          <w:tcPr>
            <w:tcW w:w="7208" w:type="dxa"/>
            <w:shd w:val="clear" w:color="auto" w:fill="auto"/>
            <w:vAlign w:val="center"/>
          </w:tcPr>
          <w:p>
            <w:pPr>
              <w:widowControl/>
              <w:spacing w:line="240" w:lineRule="auto"/>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kern w:val="2"/>
                <w:sz w:val="21"/>
                <w:szCs w:val="21"/>
                <w:lang w:val="en-US" w:eastAsia="zh-CN" w:bidi="ar-SA"/>
              </w:rPr>
              <w:t>诚信、创新、学习、高效</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rPr>
      </w:pPr>
      <w:bookmarkStart w:id="5" w:name="_Ref329948790"/>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rPr>
      </w:pPr>
      <w:r>
        <w:rPr>
          <w:rFonts w:hint="eastAsia"/>
          <w:highlight w:val="none"/>
        </w:rPr>
        <w:t>企业使命：</w:t>
      </w:r>
      <w:r>
        <w:rPr>
          <w:rFonts w:hint="eastAsia"/>
          <w:highlight w:val="none"/>
          <w:lang w:val="en-US" w:eastAsia="zh-CN"/>
        </w:rPr>
        <w:t>为客户提供优质的产品和专业的服务</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none"/>
        </w:rPr>
      </w:pPr>
      <w:r>
        <w:rPr>
          <w:rFonts w:hint="eastAsia"/>
          <w:highlight w:val="none"/>
        </w:rPr>
        <w:t>随着物质文化生活和精神文化生活不断的提高，消费者追求高品质生活的理念转变，在追求现代化</w:t>
      </w:r>
      <w:r>
        <w:rPr>
          <w:rFonts w:hint="eastAsia"/>
          <w:highlight w:val="none"/>
          <w:lang w:val="en-US"/>
        </w:rPr>
        <w:t>商务</w:t>
      </w:r>
      <w:r>
        <w:rPr>
          <w:rFonts w:hint="eastAsia"/>
          <w:highlight w:val="none"/>
        </w:rPr>
        <w:t>快捷式生活的同时，</w:t>
      </w:r>
      <w:r>
        <w:rPr>
          <w:rFonts w:hint="eastAsia"/>
          <w:highlight w:val="none"/>
          <w:lang w:val="en-US"/>
        </w:rPr>
        <w:t>时尚高端</w:t>
      </w:r>
      <w:r>
        <w:rPr>
          <w:rFonts w:hint="eastAsia"/>
          <w:highlight w:val="none"/>
        </w:rPr>
        <w:t>同样也成了现代人选择消费时一个主要的考虑点。打造</w:t>
      </w:r>
      <w:r>
        <w:rPr>
          <w:rFonts w:hint="eastAsia" w:asciiTheme="minorEastAsia" w:hAnsiTheme="minorEastAsia" w:eastAsiaTheme="minorEastAsia"/>
          <w:color w:val="000000" w:themeColor="text1"/>
          <w:highlight w:val="none"/>
          <w:lang w:val="en-US" w:eastAsia="zh-CN"/>
          <w14:textFill>
            <w14:solidFill>
              <w14:schemeClr w14:val="tx1"/>
            </w14:solidFill>
          </w14:textFill>
        </w:rPr>
        <w:t>企业不锈钢无缝钢管</w:t>
      </w:r>
      <w:r>
        <w:rPr>
          <w:rFonts w:hint="eastAsia" w:asciiTheme="minorEastAsia" w:hAnsiTheme="minorEastAsia" w:eastAsiaTheme="minorEastAsia"/>
          <w:color w:val="000000" w:themeColor="text1"/>
          <w:highlight w:val="none"/>
          <w:lang w:val="en-US"/>
          <w14:textFill>
            <w14:solidFill>
              <w14:schemeClr w14:val="tx1"/>
            </w14:solidFill>
          </w14:textFill>
        </w:rPr>
        <w:t>定制</w:t>
      </w:r>
      <w:r>
        <w:rPr>
          <w:rFonts w:hint="eastAsia"/>
          <w:highlight w:val="none"/>
        </w:rPr>
        <w:t>，为我们的</w:t>
      </w:r>
      <w:r>
        <w:rPr>
          <w:rFonts w:hint="eastAsia"/>
          <w:highlight w:val="none"/>
          <w:lang w:val="en-US"/>
        </w:rPr>
        <w:t>客户塑造</w:t>
      </w:r>
      <w:r>
        <w:rPr>
          <w:rFonts w:hint="eastAsia"/>
          <w:highlight w:val="none"/>
          <w:lang w:val="en-US" w:eastAsia="zh-CN"/>
        </w:rPr>
        <w:t>企业</w:t>
      </w:r>
      <w:r>
        <w:rPr>
          <w:rFonts w:hint="eastAsia"/>
          <w:highlight w:val="none"/>
          <w:lang w:val="en-US"/>
        </w:rPr>
        <w:t>精英形象</w:t>
      </w:r>
      <w:r>
        <w:rPr>
          <w:rFonts w:hint="eastAsia"/>
          <w:highlight w:val="none"/>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lang w:val="en-US" w:eastAsia="zh-CN"/>
        </w:rPr>
      </w:pPr>
      <w:r>
        <w:rPr>
          <w:rFonts w:hint="eastAsia"/>
          <w:highlight w:val="none"/>
        </w:rPr>
        <w:t>企业愿景</w:t>
      </w:r>
      <w:r>
        <w:rPr>
          <w:rFonts w:hint="eastAsia" w:ascii="宋体" w:hAnsi="宋体" w:eastAsia="宋体" w:cs="宋体"/>
          <w:highlight w:val="none"/>
        </w:rPr>
        <w:t>：</w:t>
      </w:r>
      <w:r>
        <w:rPr>
          <w:rFonts w:hint="eastAsia"/>
          <w:highlight w:val="none"/>
          <w:lang w:val="en-US" w:eastAsia="zh-CN"/>
        </w:rPr>
        <w:t>走科技之路，创国际品牌</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yellow"/>
        </w:rPr>
      </w:pPr>
      <w:r>
        <w:rPr>
          <w:rFonts w:hint="eastAsia"/>
          <w:highlight w:val="none"/>
          <w:lang w:val="en-US"/>
        </w:rPr>
        <w:t>公司自创建以来以一流的品质、优良的信誉，</w:t>
      </w:r>
      <w:r>
        <w:rPr>
          <w:rFonts w:hint="eastAsia"/>
          <w:highlight w:val="none"/>
        </w:rPr>
        <w:t>目前在国内市场已有</w:t>
      </w:r>
      <w:r>
        <w:rPr>
          <w:rFonts w:hint="eastAsia"/>
          <w:highlight w:val="none"/>
          <w:lang w:val="en-US"/>
        </w:rPr>
        <w:t>一定</w:t>
      </w:r>
      <w:r>
        <w:rPr>
          <w:rFonts w:hint="eastAsia"/>
          <w:highlight w:val="none"/>
        </w:rPr>
        <w:t>的行业地位与影响力，结合当代社会经济发展形式，在互联网经济时代，我公司致力于成为</w:t>
      </w:r>
      <w:r>
        <w:rPr>
          <w:rFonts w:hint="eastAsia"/>
          <w:color w:val="000000"/>
          <w:highlight w:val="none"/>
        </w:rPr>
        <w:t>互联网时代</w:t>
      </w:r>
      <w:r>
        <w:rPr>
          <w:rFonts w:hint="eastAsia" w:asciiTheme="minorEastAsia" w:hAnsiTheme="minorEastAsia" w:eastAsiaTheme="minorEastAsia"/>
          <w:color w:val="000000" w:themeColor="text1"/>
          <w:highlight w:val="none"/>
          <w:lang w:val="en-US" w:eastAsia="zh-CN"/>
          <w14:textFill>
            <w14:solidFill>
              <w14:schemeClr w14:val="tx1"/>
            </w14:solidFill>
          </w14:textFill>
        </w:rPr>
        <w:t>企业</w:t>
      </w:r>
      <w:r>
        <w:rPr>
          <w:rFonts w:hint="eastAsia" w:asciiTheme="minorEastAsia" w:hAnsiTheme="minorEastAsia" w:eastAsiaTheme="minorEastAsia"/>
          <w:color w:val="000000" w:themeColor="text1"/>
          <w:highlight w:val="none"/>
          <w:lang w:val="en-US"/>
          <w14:textFill>
            <w14:solidFill>
              <w14:schemeClr w14:val="tx1"/>
            </w14:solidFill>
          </w14:textFill>
        </w:rPr>
        <w:t>高端</w:t>
      </w:r>
      <w:r>
        <w:rPr>
          <w:rFonts w:hint="eastAsia" w:asciiTheme="minorEastAsia" w:hAnsiTheme="minorEastAsia" w:eastAsiaTheme="minorEastAsia"/>
          <w:color w:val="000000" w:themeColor="text1"/>
          <w:highlight w:val="none"/>
          <w:lang w:val="en-US" w:eastAsia="zh-CN"/>
          <w14:textFill>
            <w14:solidFill>
              <w14:schemeClr w14:val="tx1"/>
            </w14:solidFill>
          </w14:textFill>
        </w:rPr>
        <w:t>不锈钢无缝钢管</w:t>
      </w:r>
      <w:r>
        <w:rPr>
          <w:rFonts w:hint="eastAsia" w:asciiTheme="minorEastAsia" w:hAnsiTheme="minorEastAsia" w:eastAsiaTheme="minorEastAsia"/>
          <w:color w:val="000000" w:themeColor="text1"/>
          <w:highlight w:val="none"/>
          <w:lang w:val="en-US"/>
          <w14:textFill>
            <w14:solidFill>
              <w14:schemeClr w14:val="tx1"/>
            </w14:solidFill>
          </w14:textFill>
        </w:rPr>
        <w:t>定制</w:t>
      </w:r>
      <w:r>
        <w:rPr>
          <w:rFonts w:hint="eastAsia"/>
          <w:color w:val="000000"/>
          <w:highlight w:val="none"/>
        </w:rPr>
        <w:t>顶级</w:t>
      </w:r>
      <w:r>
        <w:rPr>
          <w:rFonts w:hint="eastAsia"/>
          <w:color w:val="000000"/>
          <w:highlight w:val="none"/>
          <w:lang w:val="en-US"/>
        </w:rPr>
        <w:t>服务</w:t>
      </w:r>
      <w:r>
        <w:rPr>
          <w:rFonts w:hint="eastAsia"/>
          <w:color w:val="000000"/>
          <w:highlight w:val="none"/>
        </w:rPr>
        <w:t>商</w:t>
      </w:r>
      <w:r>
        <w:rPr>
          <w:rFonts w:hint="eastAsia"/>
          <w:highlight w:val="none"/>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lang w:eastAsia="zh-CN"/>
        </w:rPr>
      </w:pPr>
      <w:r>
        <w:rPr>
          <w:rFonts w:hint="eastAsia"/>
          <w:highlight w:val="none"/>
        </w:rPr>
        <w:t>核心价值观：</w:t>
      </w:r>
      <w:r>
        <w:rPr>
          <w:rFonts w:hint="eastAsia"/>
          <w:highlight w:val="none"/>
          <w:lang w:val="en-US" w:eastAsia="zh-CN"/>
        </w:rPr>
        <w:t>诚信、创新，为顾客创造价值</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highlight w:val="none"/>
          <w:lang w:val="en-US" w:eastAsia="zh-CN"/>
        </w:rPr>
      </w:pPr>
      <w:r>
        <w:rPr>
          <w:rFonts w:hint="eastAsia"/>
          <w:highlight w:val="none"/>
          <w:lang w:val="en-US" w:eastAsia="zh-CN"/>
        </w:rPr>
        <w:t>诚信</w:t>
      </w:r>
      <w:r>
        <w:rPr>
          <w:rFonts w:hint="eastAsia"/>
          <w:highlight w:val="none"/>
        </w:rPr>
        <w:t>——</w:t>
      </w:r>
      <w:r>
        <w:rPr>
          <w:rFonts w:hint="eastAsia"/>
          <w:highlight w:val="none"/>
          <w:lang w:val="en-US" w:eastAsia="zh-CN"/>
        </w:rPr>
        <w:t>立诚守信，言真行实。</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rPr>
      </w:pPr>
      <w:r>
        <w:rPr>
          <w:rFonts w:hint="eastAsia"/>
          <w:highlight w:val="none"/>
          <w:lang w:val="en-US" w:eastAsia="zh-CN"/>
        </w:rPr>
        <w:t>创新</w:t>
      </w:r>
      <w:r>
        <w:rPr>
          <w:rFonts w:hint="eastAsia"/>
          <w:highlight w:val="none"/>
        </w:rPr>
        <w:t>——</w:t>
      </w:r>
      <w:r>
        <w:rPr>
          <w:rFonts w:hint="eastAsia"/>
          <w:highlight w:val="none"/>
          <w:lang w:val="en-US" w:eastAsia="zh-CN"/>
        </w:rPr>
        <w:t>与时俱进，开括创新</w:t>
      </w:r>
      <w:r>
        <w:rPr>
          <w:rFonts w:hint="eastAsia"/>
          <w:highlight w:val="none"/>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lang w:val="en-US" w:eastAsia="zh-CN"/>
        </w:rPr>
      </w:pPr>
      <w:r>
        <w:rPr>
          <w:rFonts w:hint="eastAsia"/>
          <w:highlight w:val="none"/>
          <w:lang w:val="en-US" w:eastAsia="zh-CN"/>
        </w:rPr>
        <w:t>业绩</w:t>
      </w:r>
      <w:r>
        <w:rPr>
          <w:rFonts w:hint="eastAsia"/>
          <w:highlight w:val="none"/>
        </w:rPr>
        <w:t>——</w:t>
      </w:r>
      <w:r>
        <w:rPr>
          <w:rFonts w:hint="eastAsia"/>
          <w:highlight w:val="none"/>
          <w:lang w:val="en-US" w:eastAsia="zh-CN"/>
        </w:rPr>
        <w:t>业绩至上，创造卓越。</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highlight w:val="none"/>
          <w:lang w:val="en-US" w:eastAsia="zh-CN"/>
        </w:rPr>
      </w:pPr>
      <w:r>
        <w:rPr>
          <w:rFonts w:hint="eastAsia"/>
          <w:highlight w:val="none"/>
          <w:lang w:val="en-US" w:eastAsia="zh-CN"/>
        </w:rPr>
        <w:t>和谐</w:t>
      </w:r>
      <w:r>
        <w:rPr>
          <w:rFonts w:hint="eastAsia"/>
          <w:highlight w:val="none"/>
        </w:rPr>
        <w:t>——</w:t>
      </w:r>
      <w:r>
        <w:rPr>
          <w:rFonts w:hint="eastAsia"/>
          <w:highlight w:val="none"/>
          <w:lang w:val="en-US" w:eastAsia="zh-CN"/>
        </w:rPr>
        <w:t>团结协作，营造和谐。</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lang w:val="en-US" w:eastAsia="zh-CN"/>
        </w:rPr>
      </w:pPr>
      <w:r>
        <w:rPr>
          <w:rFonts w:hint="eastAsia"/>
          <w:highlight w:val="none"/>
        </w:rPr>
        <w:t>经营理念：</w:t>
      </w:r>
      <w:r>
        <w:rPr>
          <w:rFonts w:hint="eastAsia"/>
          <w:highlight w:val="none"/>
          <w:lang w:val="en-US" w:eastAsia="zh-CN"/>
        </w:rPr>
        <w:t>诚信、创新、学习、高效。</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none"/>
        </w:rPr>
      </w:pPr>
      <w:r>
        <w:rPr>
          <w:rFonts w:hint="eastAsia"/>
          <w:highlight w:val="none"/>
          <w:lang w:val="en-US" w:eastAsia="zh-CN"/>
        </w:rPr>
        <w:t>坚持“健全质量体系，遵守法律法规，不断持续改进；保证安全生产，提升企业品牌，增强顾客满意”的质量方针，以一流的品质、优良的信誉为客户服务，通过技术打造</w:t>
      </w:r>
      <w:r>
        <w:rPr>
          <w:rFonts w:hint="eastAsia"/>
          <w:highlight w:val="none"/>
          <w:lang w:val="en-US"/>
        </w:rPr>
        <w:t>精品</w:t>
      </w:r>
      <w:r>
        <w:rPr>
          <w:rFonts w:hint="eastAsia"/>
          <w:highlight w:val="none"/>
        </w:rPr>
        <w:t>。</w:t>
      </w:r>
      <w:r>
        <w:rPr>
          <w:rFonts w:hint="eastAsia"/>
          <w:highlight w:val="none"/>
          <w:lang w:val="en-US" w:eastAsia="zh-CN"/>
        </w:rPr>
        <w:t>信得达</w:t>
      </w:r>
      <w:r>
        <w:rPr>
          <w:rFonts w:hint="eastAsia"/>
          <w:highlight w:val="none"/>
          <w:lang w:eastAsia="zh-CN"/>
        </w:rPr>
        <w:t>的员工从上至下都以“</w:t>
      </w:r>
      <w:r>
        <w:rPr>
          <w:rFonts w:hint="eastAsia"/>
          <w:highlight w:val="none"/>
          <w:lang w:val="en-US" w:eastAsia="zh-CN"/>
        </w:rPr>
        <w:t>诚信、创新，为顾客创造价值</w:t>
      </w:r>
      <w:r>
        <w:rPr>
          <w:rFonts w:hint="eastAsia"/>
          <w:highlight w:val="none"/>
          <w:lang w:eastAsia="zh-CN"/>
        </w:rPr>
        <w:t>”为核心价值取向，时时牢记我们是诚信的维护者，是专业</w:t>
      </w:r>
      <w:r>
        <w:rPr>
          <w:rFonts w:hint="eastAsia"/>
          <w:highlight w:val="none"/>
          <w:lang w:val="en-US" w:eastAsia="zh-CN"/>
        </w:rPr>
        <w:t>不锈钢无缝钢管</w:t>
      </w:r>
      <w:r>
        <w:rPr>
          <w:rFonts w:hint="eastAsia"/>
          <w:highlight w:val="none"/>
          <w:lang w:eastAsia="zh-CN"/>
        </w:rPr>
        <w:t>生产的前行者，是构建和谐企业的缔造者。</w:t>
      </w:r>
    </w:p>
    <w:bookmarkEnd w:id="5"/>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2）企业文化理念的宣贯</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none"/>
        </w:rPr>
      </w:pPr>
      <w:r>
        <w:rPr>
          <w:rFonts w:hint="eastAsia"/>
          <w:highlight w:val="none"/>
        </w:rPr>
        <w:t>公司总经理非常注重企业文化建设，他相信“文化是最顶层，包括团队的方向，追求持续经营，要做顶级供应商就必须打造好企业文化”。</w:t>
      </w:r>
    </w:p>
    <w:p>
      <w:pPr>
        <w:pStyle w:val="4"/>
        <w:spacing w:before="166" w:line="386" w:lineRule="auto"/>
        <w:ind w:right="359" w:firstLine="480"/>
        <w:jc w:val="both"/>
      </w:pPr>
      <w:r>
        <w:rPr>
          <w:lang w:val="en-US" w:bidi="ar-SA"/>
        </w:rPr>
        <w:drawing>
          <wp:inline distT="0" distB="0" distL="114300" distR="114300">
            <wp:extent cx="4525645" cy="2484120"/>
            <wp:effectExtent l="0" t="0" r="0" b="1143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9"/>
                    <a:stretch>
                      <a:fillRect/>
                    </a:stretch>
                  </pic:blipFill>
                  <pic:spPr>
                    <a:xfrm>
                      <a:off x="0" y="0"/>
                      <a:ext cx="4525645" cy="2484120"/>
                    </a:xfrm>
                    <a:prstGeom prst="rect">
                      <a:avLst/>
                    </a:prstGeom>
                    <a:noFill/>
                    <a:ln>
                      <a:noFill/>
                    </a:ln>
                  </pic:spPr>
                </pic:pic>
              </a:graphicData>
            </a:graphic>
          </wp:inline>
        </w:drawing>
      </w:r>
    </w:p>
    <w:p>
      <w:pPr>
        <w:pStyle w:val="4"/>
        <w:spacing w:before="166" w:line="386" w:lineRule="auto"/>
        <w:ind w:right="359" w:firstLine="480"/>
        <w:jc w:val="center"/>
      </w:pPr>
      <w:r>
        <w:rPr>
          <w:rFonts w:hint="eastAsia"/>
        </w:rPr>
        <w:t>图表</w:t>
      </w:r>
      <w:r>
        <w:rPr>
          <w:rFonts w:hint="eastAsia"/>
          <w:lang w:val="en-US"/>
        </w:rPr>
        <w:t>2</w:t>
      </w:r>
      <w:r>
        <w:rPr>
          <w:rFonts w:hint="eastAsia"/>
        </w:rPr>
        <w:t>.1-</w:t>
      </w:r>
      <w:r>
        <w:fldChar w:fldCharType="begin"/>
      </w:r>
      <w:r>
        <w:rPr>
          <w:rFonts w:hint="eastAsia"/>
        </w:rPr>
        <w:instrText xml:space="preserve">SEQ 图表4.1- \* ARABIC</w:instrText>
      </w:r>
      <w:r>
        <w:fldChar w:fldCharType="separate"/>
      </w:r>
      <w:r>
        <w:t>1</w:t>
      </w:r>
      <w:r>
        <w:fldChar w:fldCharType="end"/>
      </w:r>
      <w:r>
        <w:rPr>
          <w:rFonts w:hint="eastAsia"/>
        </w:rPr>
        <w:t xml:space="preserve"> 公司多渠道企业文化传播</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总经理希望</w:t>
      </w:r>
      <w:r>
        <w:rPr>
          <w:rFonts w:hint="eastAsia"/>
          <w:lang w:val="en-US" w:eastAsia="zh-CN"/>
        </w:rPr>
        <w:t>信得达</w:t>
      </w:r>
      <w:r>
        <w:rPr>
          <w:rFonts w:hint="eastAsia"/>
        </w:rPr>
        <w:t>优秀的企业文化能培养更多的优秀人才，继而以优秀的人才团队推动企业的快速发展，使</w:t>
      </w:r>
      <w:r>
        <w:rPr>
          <w:rFonts w:hint="eastAsia"/>
          <w:lang w:val="en-US" w:eastAsia="zh-CN"/>
        </w:rPr>
        <w:t>信得达</w:t>
      </w:r>
      <w:r>
        <w:rPr>
          <w:rFonts w:hint="eastAsia"/>
        </w:rPr>
        <w:t>早日成为国际一流公司，早日达到既定目标，实现崇高理想。</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center"/>
        <w:textAlignment w:val="auto"/>
      </w:pPr>
      <w:r>
        <w:rPr>
          <w:rFonts w:hint="eastAsia"/>
        </w:rPr>
        <w:t>图表</w:t>
      </w:r>
      <w:r>
        <w:rPr>
          <w:rFonts w:hint="eastAsia"/>
          <w:lang w:val="en-US"/>
        </w:rPr>
        <w:t>2</w:t>
      </w:r>
      <w:r>
        <w:rPr>
          <w:rFonts w:hint="eastAsia"/>
        </w:rPr>
        <w:t>.1-</w:t>
      </w:r>
      <w:r>
        <w:fldChar w:fldCharType="begin"/>
      </w:r>
      <w:r>
        <w:rPr>
          <w:rFonts w:hint="eastAsia"/>
        </w:rPr>
        <w:instrText xml:space="preserve">SEQ 图表4.1- \* ARABIC</w:instrText>
      </w:r>
      <w:r>
        <w:fldChar w:fldCharType="separate"/>
      </w:r>
      <w:r>
        <w:t>2</w:t>
      </w:r>
      <w:r>
        <w:fldChar w:fldCharType="end"/>
      </w:r>
      <w:r>
        <w:rPr>
          <w:rFonts w:hint="eastAsia"/>
        </w:rPr>
        <w:t xml:space="preserve"> 企业文化宣传一览表</w:t>
      </w:r>
    </w:p>
    <w:tbl>
      <w:tblPr>
        <w:tblStyle w:val="11"/>
        <w:tblW w:w="900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8"/>
        <w:gridCol w:w="524"/>
        <w:gridCol w:w="1840"/>
        <w:gridCol w:w="2269"/>
        <w:gridCol w:w="1721"/>
        <w:gridCol w:w="2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962" w:type="dxa"/>
            <w:gridSpan w:val="2"/>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对象</w:t>
            </w:r>
          </w:p>
        </w:tc>
        <w:tc>
          <w:tcPr>
            <w:tcW w:w="1840"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宣传渠道</w:t>
            </w:r>
          </w:p>
        </w:tc>
        <w:tc>
          <w:tcPr>
            <w:tcW w:w="2269"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宣传内容</w:t>
            </w:r>
          </w:p>
        </w:tc>
        <w:tc>
          <w:tcPr>
            <w:tcW w:w="172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效果</w:t>
            </w:r>
          </w:p>
        </w:tc>
        <w:tc>
          <w:tcPr>
            <w:tcW w:w="221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评价机制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通讯平台、微信公众平台、年会、培训、优秀文化案例等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文化制度、活动展示、优秀文化案例、优秀员工事迹、高层讲文化与自身创业故事</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提高员工企业文化认知度、认同度、满意度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员工满意度调查、标杆员工等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vMerge w:val="restart"/>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顾客</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展示厅、文化墙、文化案例传播、员工培训等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文化动态、优秀文化案例、文化讲解、成果展示</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提高客户公司文化认同度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满意度调查、企业文化认同等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供方</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微信公众号、供应商会等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质量文化、效率文化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质量承诺书的签订 </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提高交付效率和质量、文化落地情况和效果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社会</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文化交流、企业文化交流等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社会贡献、企业使命、企业愿景、党建文化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文化之旅、党建文化访问、企业文化访问</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提升社会知名度、交流接待数量</w:t>
            </w:r>
          </w:p>
        </w:tc>
      </w:tr>
    </w:tbl>
    <w:p>
      <w:pPr>
        <w:pStyle w:val="4"/>
        <w:spacing w:before="166" w:line="386" w:lineRule="auto"/>
        <w:ind w:right="359" w:firstLine="480"/>
        <w:jc w:val="both"/>
      </w:pPr>
      <w:r>
        <w:rPr>
          <w:rFonts w:hint="eastAsia"/>
        </w:rPr>
        <w:t>公司将“企业文化培训”作为新员工入职学习内容之一，每年由高层领导亲自讲解和引导；公司通过宣传海报、微信公众号、企业文化手册、丰富多彩的企业文化活动等方式，将核心文化传播至各层次、各部门，营造浓郁的企业文化氛围。</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lang w:val="en-US" w:eastAsia="zh-CN"/>
        </w:rPr>
        <w:t>2、</w:t>
      </w:r>
      <w:r>
        <w:rPr>
          <w:rFonts w:hint="eastAsia"/>
        </w:rPr>
        <w:t>与相关方进行沟通，激励员工以强化组织的方向和重点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1）加强与员工及其他相关方的沟通</w:t>
      </w:r>
    </w:p>
    <w:p>
      <w:pPr>
        <w:pStyle w:val="4"/>
        <w:spacing w:before="166" w:line="386" w:lineRule="auto"/>
        <w:ind w:right="359" w:firstLine="480"/>
        <w:jc w:val="both"/>
      </w:pPr>
      <w:r>
        <w:rPr>
          <w:rFonts w:hint="eastAsia"/>
        </w:rPr>
        <w:t>公司通过多种方式向员工、客户、供应商等利益相关方传播企业文化，激励企业全员为实现公司战略目标而努力，也促使相关方充分理解公司经营理念。</w:t>
      </w:r>
    </w:p>
    <w:p>
      <w:pPr>
        <w:pStyle w:val="4"/>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3</w:t>
      </w:r>
      <w:r>
        <w:rPr>
          <w:sz w:val="21"/>
          <w:szCs w:val="21"/>
        </w:rPr>
        <w:fldChar w:fldCharType="end"/>
      </w:r>
      <w:r>
        <w:rPr>
          <w:rFonts w:hint="eastAsia"/>
          <w:sz w:val="21"/>
          <w:szCs w:val="21"/>
        </w:rPr>
        <w:t xml:space="preserve"> 公司与相关方双向沟通方式</w:t>
      </w:r>
    </w:p>
    <w:tbl>
      <w:tblPr>
        <w:tblStyle w:val="11"/>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1" w:type="dxa"/>
            <w:shd w:val="clear" w:color="auto" w:fill="548DD4" w:themeFill="text2" w:themeFillTint="99"/>
            <w:vAlign w:val="center"/>
          </w:tcPr>
          <w:p>
            <w:pPr>
              <w:jc w:val="center"/>
              <w:rPr>
                <w:rFonts w:ascii="微软雅黑" w:hAnsi="微软雅黑" w:eastAsia="微软雅黑" w:cs="Calibri"/>
                <w:b/>
                <w:sz w:val="21"/>
                <w:szCs w:val="21"/>
              </w:rPr>
            </w:pPr>
            <w:r>
              <w:rPr>
                <w:rFonts w:hint="eastAsia" w:ascii="微软雅黑" w:hAnsi="微软雅黑" w:eastAsia="微软雅黑" w:cs="Calibri"/>
                <w:b/>
                <w:sz w:val="21"/>
                <w:szCs w:val="21"/>
              </w:rPr>
              <w:t>对象</w:t>
            </w:r>
          </w:p>
        </w:tc>
        <w:tc>
          <w:tcPr>
            <w:tcW w:w="7902" w:type="dxa"/>
            <w:shd w:val="clear" w:color="auto" w:fill="548DD4" w:themeFill="text2" w:themeFillTint="99"/>
            <w:vAlign w:val="center"/>
          </w:tcPr>
          <w:p>
            <w:pPr>
              <w:jc w:val="center"/>
              <w:rPr>
                <w:rFonts w:ascii="微软雅黑" w:hAnsi="微软雅黑" w:eastAsia="微软雅黑" w:cs="Calibri"/>
                <w:b/>
                <w:sz w:val="21"/>
                <w:szCs w:val="21"/>
              </w:rPr>
            </w:pPr>
            <w:r>
              <w:rPr>
                <w:rFonts w:hint="eastAsia" w:ascii="微软雅黑" w:hAnsi="微软雅黑" w:eastAsia="微软雅黑" w:cs="Calibri"/>
                <w:b/>
                <w:sz w:val="21"/>
                <w:szCs w:val="21"/>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restart"/>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公司网站、《员工手册》、企业宣传册、企业文化墙、公司展厅、宣传片、宣传窗等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电话、QQ、微信平台、电子邮件系统等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新员工入职培训、企业文化培训、素质拓展训练、专业培训、技能培训等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职工活动、联谊活动、文艺活动、旅游活动、公益活动等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周例会、生产例会、营销例会、月度总结大会、年度总结大会等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顾客</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网站、展会沟通、企业宣传册、广告宣传、传真、电子邮件、新闻媒体、行业杂志、客户服务热线、、现场走访等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供应商实地考察、供应商评选、供应商会议、电话沟通、电子邮件等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合作伙伴 </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网站、新闻媒体、行业协会活动、项目开发等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政府</w:t>
            </w:r>
          </w:p>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公众</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工作汇报、项目评审、参观指导、接待相关人员来访、参加公益活动、慈善捐赠等、</w:t>
            </w:r>
          </w:p>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网站、企业刊物、宣传册、宣传片等</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2）激励员工以强化组织发展</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为了激励员工的正确行为，公司从文化、制度和活动多方面进行了激励，鼓励员工的行为符合公司发展方向。</w:t>
      </w:r>
    </w:p>
    <w:p>
      <w:pPr>
        <w:keepNext w:val="0"/>
        <w:keepLines w:val="0"/>
        <w:pageBreakBefore w:val="0"/>
        <w:widowControl w:val="0"/>
        <w:kinsoku/>
        <w:wordWrap/>
        <w:overflowPunct/>
        <w:topLinePunct w:val="0"/>
        <w:autoSpaceDE w:val="0"/>
        <w:autoSpaceDN w:val="0"/>
        <w:bidi w:val="0"/>
        <w:adjustRightInd w:val="0"/>
        <w:snapToGrid/>
        <w:spacing w:line="360" w:lineRule="auto"/>
        <w:ind w:left="0" w:right="0" w:firstLine="480" w:firstLineChars="200"/>
        <w:textAlignment w:val="auto"/>
        <w:rPr>
          <w:sz w:val="24"/>
          <w:szCs w:val="24"/>
          <w:highlight w:val="none"/>
        </w:rPr>
      </w:pPr>
      <w:r>
        <w:rPr>
          <w:rFonts w:hint="eastAsia"/>
          <w:sz w:val="24"/>
          <w:szCs w:val="24"/>
          <w:highlight w:val="none"/>
        </w:rPr>
        <w:t>文化激励：</w:t>
      </w:r>
      <w:r>
        <w:rPr>
          <w:rFonts w:hint="eastAsia"/>
          <w:sz w:val="24"/>
          <w:szCs w:val="24"/>
          <w:highlight w:val="none"/>
          <w:lang w:val="en-US" w:eastAsia="zh-CN"/>
        </w:rPr>
        <w:t>信得达</w:t>
      </w:r>
      <w:r>
        <w:rPr>
          <w:rFonts w:hint="eastAsia"/>
          <w:sz w:val="24"/>
          <w:szCs w:val="24"/>
          <w:highlight w:val="none"/>
        </w:rPr>
        <w:t>人以“</w:t>
      </w:r>
      <w:r>
        <w:rPr>
          <w:rFonts w:hint="eastAsia" w:cs="Arial" w:asciiTheme="minorEastAsia" w:hAnsiTheme="minorEastAsia" w:eastAsiaTheme="minorEastAsia"/>
          <w:b w:val="0"/>
          <w:bCs w:val="0"/>
          <w:color w:val="000000" w:themeColor="text1"/>
          <w:sz w:val="24"/>
          <w:szCs w:val="24"/>
          <w:lang w:val="en-US" w:eastAsia="zh-CN"/>
          <w14:textFill>
            <w14:solidFill>
              <w14:schemeClr w14:val="tx1"/>
            </w14:solidFill>
          </w14:textFill>
        </w:rPr>
        <w:t>科学管理，规范操作，持续改进，顾客满意</w:t>
      </w:r>
      <w:r>
        <w:rPr>
          <w:rFonts w:hint="eastAsia"/>
          <w:sz w:val="24"/>
          <w:szCs w:val="24"/>
          <w:highlight w:val="none"/>
        </w:rPr>
        <w:t>”为宗旨，坚持“</w:t>
      </w:r>
      <w:r>
        <w:rPr>
          <w:rFonts w:hint="eastAsia"/>
          <w:sz w:val="24"/>
          <w:szCs w:val="24"/>
          <w:highlight w:val="none"/>
          <w:lang w:eastAsia="zh-CN"/>
        </w:rPr>
        <w:t>节能降耗，防治污染，保护环境；安全第一，保障健康，减少风险；全员参与，遵守法规，</w:t>
      </w:r>
      <w:bookmarkStart w:id="20" w:name="_GoBack"/>
      <w:bookmarkEnd w:id="20"/>
      <w:r>
        <w:rPr>
          <w:rFonts w:hint="eastAsia"/>
          <w:sz w:val="24"/>
          <w:szCs w:val="24"/>
          <w:highlight w:val="none"/>
          <w:lang w:eastAsia="zh-CN"/>
        </w:rPr>
        <w:t>持续改进</w:t>
      </w:r>
      <w:r>
        <w:rPr>
          <w:rFonts w:hint="eastAsia"/>
          <w:sz w:val="24"/>
          <w:szCs w:val="24"/>
          <w:highlight w:val="none"/>
        </w:rPr>
        <w:t>”努力营造以人为本、和谐共事、快乐工作、激情创业、健康生活的氛围，真正形成团结和谐谋发展、众志成城创大业的合力，实现企业和员工的文明、和谐、科学、有效的发展。正确、扎实、快速、有效应该是</w:t>
      </w:r>
      <w:r>
        <w:rPr>
          <w:rFonts w:hint="eastAsia"/>
          <w:sz w:val="24"/>
          <w:szCs w:val="24"/>
          <w:highlight w:val="none"/>
          <w:lang w:eastAsia="zh-CN"/>
        </w:rPr>
        <w:t>信得达</w:t>
      </w:r>
      <w:r>
        <w:rPr>
          <w:rFonts w:hint="eastAsia"/>
          <w:sz w:val="24"/>
          <w:szCs w:val="24"/>
          <w:highlight w:val="none"/>
        </w:rPr>
        <w:t>的工作风格，在保证事情做对的前提下，实现行事高品质、高效率、低成本，那最后的高效益就会成为必然。</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制度激励：公司制定了员工手册，规范员工行为，并通过制定各种奖励制度，鼓励员工表现公司期待的行为。如供应商管理制度、廉政文化建设制度等。</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物质激励：为鼓励全体员工实现卓越绩效的活动，强化公司未来的发展方向和发展重点，公司设立了优秀员工、优秀团队、创新奖等荣誉，为员工的优秀表现给予精神奖励及物质奖励。在供应商与顾客方面，公司定期评级，根据评级结果相应提供增值性服务，以增进双方友谊，朝着对双方都有利的方向迈进。</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c）营造良好的内部经营环境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1）创造诚信守法的环境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高层领导致力于营造守法重德的环境，坚持诚信经营、遵纪守法、依法纳税。公司每年组织各部门开展法律法规监督与检查，严格遵守国家的法律法规，建立商业行为准则和员工商业行为规范。公司一直践行廉政文化，逐步完善制度，规范公司及员工行为。此外，公司定期接受国</w:t>
      </w:r>
      <w:r>
        <w:rPr>
          <w:rFonts w:hint="eastAsia"/>
          <w:lang w:val="en-US" w:eastAsia="zh-CN"/>
        </w:rPr>
        <w:t>内</w:t>
      </w:r>
      <w:r>
        <w:rPr>
          <w:rFonts w:hint="eastAsia"/>
        </w:rPr>
        <w:t>多家知名品牌客户验厂，不断完善诚信守法体系。</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公司通过各种方式对合作方实施影响，例如，公司以合同的形式规范供应商行为，通过对供应商的审计评价，认定其供应资格。</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坚信诚为做人之源，信为立业之本是企业做大做强的根本，求真务实的思想作风是企业对社会、客户、员工等责任承诺的保障基础。在公司内部企业、部门、员工之间都要讲诚信、守承诺，相互信赖、相互支持；在外部则是做事业要务实，注重长期经营，坚持合作共赢，承担社会责任，关注节能环保问题。</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2）</w:t>
      </w:r>
      <w:r>
        <w:t>创建有利</w:t>
      </w:r>
      <w:r>
        <w:rPr>
          <w:rFonts w:hint="eastAsia"/>
        </w:rPr>
        <w:t>于改进和</w:t>
      </w:r>
      <w:r>
        <w:t>创新的环境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lang w:eastAsia="zh-CN"/>
        </w:rPr>
        <w:t>信得达</w:t>
      </w:r>
      <w:r>
        <w:t>的快速发展离不开</w:t>
      </w:r>
      <w:r>
        <w:rPr>
          <w:rFonts w:hint="eastAsia"/>
        </w:rPr>
        <w:t>总经理</w:t>
      </w:r>
      <w:r>
        <w:t>的</w:t>
      </w:r>
      <w:r>
        <w:rPr>
          <w:rFonts w:hint="eastAsia"/>
        </w:rPr>
        <w:t>不断创新的思维和实践，正是由于</w:t>
      </w:r>
      <w:r>
        <w:rPr>
          <w:rFonts w:hint="eastAsia"/>
          <w:lang w:eastAsia="zh-CN"/>
        </w:rPr>
        <w:t>信得达</w:t>
      </w:r>
      <w:r>
        <w:rPr>
          <w:rFonts w:hint="eastAsia"/>
        </w:rPr>
        <w:t>的发展动力来自于源源不断的创新，使得创新意识已植根于企业文化，并不断促进公司的发展。</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科技创新环境的营造</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在多年的经营过程中不断契合消费者需求，追求产品时尚、新颖等方面的创新，追求产品高标准高质量。公司新产品开发以市场需求为坐标，了解市场的需求和用户的心理，以此研发新的产品，开拓新的消费需求领域。</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建立了完善的财务分析制度，充分收集有关财务、销售、市场、技术、政策、法律等方面的有关信息资料，根据不同情况分别采用比较分析、因素分析、平衡分析等方法。公司每月召开资金分析会议，分析预算执行情况、财务收入、费用、利润的预算完成情况及资金日常使用的执行情况。跟踪检查月度资金计划执行情况，有效控制资金使用，使公司实时掌握资金情况并根据各种需求做出调整。</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在人员激励上，为鼓励研发人员的创造性，企业制订相应的激励措施，对围绕企业生产能力有关产品，新开发研究成功的全新产品，直接给予资金奖励。同时，将产品的新创意、新技艺等方面列入</w:t>
      </w:r>
      <w:r>
        <w:rPr>
          <w:rFonts w:hint="eastAsia"/>
          <w:lang w:val="en-US" w:eastAsia="zh-CN"/>
        </w:rPr>
        <w:t>技术部</w:t>
      </w:r>
      <w:r>
        <w:rPr>
          <w:rFonts w:hint="eastAsia"/>
        </w:rPr>
        <w:t>人员月绩效考核的指标内容，极大地调动了研发人员致力新产品开发和研制的工作热情。</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管理创新环境的营造</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管理创新：此外，为</w:t>
      </w:r>
      <w:r>
        <w:t>推进企业</w:t>
      </w:r>
      <w:r>
        <w:rPr>
          <w:rFonts w:hint="eastAsia"/>
        </w:rPr>
        <w:t>生产经营、技术创新、制度建设、内部管理等，公司制定了员工合理化建议管理制度，规定合理化建议范围及奖励方式等。该管理办法</w:t>
      </w:r>
      <w:r>
        <w:t>为员工合理化建议提供了良好的实施环境，极大地鼓舞了员工争做创新标杆的士气。</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企业内部有利于改进和创新环境的建立，使企业产品质量、服务以及内部管理有了新的提高，品牌效益初步显现。</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3）营造快速反应的环境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rPr>
          <w:highlight w:val="none"/>
        </w:rPr>
      </w:pPr>
      <w:r>
        <w:rPr>
          <w:rFonts w:hint="eastAsia"/>
          <w:highlight w:val="none"/>
          <w:lang w:val="en-US" w:eastAsia="zh-CN"/>
        </w:rPr>
        <w:t>信得达</w:t>
      </w:r>
      <w:r>
        <w:rPr>
          <w:rFonts w:hint="eastAsia"/>
          <w:highlight w:val="none"/>
        </w:rPr>
        <w:t>秉持“反应迅速、计划周密、执行有力”的行事理念高效处理各项事务。高层领导以顾客和市场、员工为中心，推行“快速反应”的管理原则，建立快速反应机制。</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rPr>
          <w:highlight w:val="none"/>
        </w:rPr>
      </w:pPr>
      <w:r>
        <w:rPr>
          <w:rFonts w:hint="eastAsia"/>
          <w:highlight w:val="none"/>
        </w:rPr>
        <w:t>对于内部员工，建立覆盖各种紧急情况的应急预案，并开展应急演练，培育员工的危机处理意识和能力，实现对意外情况的快速处理，例如顾客投诉应急处理预案、火灾、停电等紧急处理预案等。</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highlight w:val="none"/>
        </w:rPr>
        <w:t>在组织结构方面，建立扁平化的组织结构，通过缩短指令向下传达或信息向上</w:t>
      </w:r>
      <w:r>
        <w:rPr>
          <w:rFonts w:hint="eastAsia"/>
        </w:rPr>
        <w:t>传递的层级，提升组织的响应速度，通过构建信息化办公系统，为实现将财务、销售、采购、物流、生产等核心业务实现一体化管理，持续高效运营，识别和开发并及时、准确的获取相关信息和知识资源，</w:t>
      </w:r>
      <w:r>
        <w:rPr>
          <w:rFonts w:hint="eastAsia" w:ascii="Arial" w:hAnsi="Arial"/>
          <w:szCs w:val="22"/>
        </w:rPr>
        <w:t>项目攻关</w:t>
      </w:r>
      <w:r>
        <w:rPr>
          <w:rFonts w:hint="eastAsia"/>
        </w:rPr>
        <w:t>等</w:t>
      </w:r>
      <w:r>
        <w:t>方式</w:t>
      </w:r>
      <w:r>
        <w:rPr>
          <w:rFonts w:hint="eastAsia"/>
        </w:rPr>
        <w:t>，实现信息资源有效传递和应用，科学、高效</w:t>
      </w:r>
      <w:r>
        <w:t>的</w:t>
      </w:r>
      <w:r>
        <w:rPr>
          <w:rFonts w:hint="eastAsia"/>
        </w:rPr>
        <w:t>资源</w:t>
      </w:r>
      <w:r>
        <w:t>管理</w:t>
      </w:r>
      <w:r>
        <w:rPr>
          <w:rFonts w:hint="eastAsia"/>
        </w:rPr>
        <w:t>成为公司持续</w:t>
      </w:r>
      <w:r>
        <w:t>、稳定发展</w:t>
      </w:r>
      <w:r>
        <w:rPr>
          <w:rFonts w:hint="eastAsia"/>
        </w:rPr>
        <w:t>，以及</w:t>
      </w:r>
      <w:r>
        <w:t>提升</w:t>
      </w:r>
      <w:r>
        <w:rPr>
          <w:rFonts w:hint="eastAsia"/>
        </w:rPr>
        <w:t>核心</w:t>
      </w:r>
      <w:r>
        <w:t>竞争</w:t>
      </w:r>
      <w:r>
        <w:rPr>
          <w:rFonts w:hint="eastAsia"/>
        </w:rPr>
        <w:t>的</w:t>
      </w:r>
      <w:r>
        <w:t>有力保障</w:t>
      </w:r>
      <w:r>
        <w:rPr>
          <w:rFonts w:hint="eastAsia"/>
        </w:rPr>
        <w:t>。</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在工作方面，通过优化业务流程，引进先进的软硬件和技术人才，提升新品的开发速度。目前，公司新产品开发速度在业内处于领先水平。针对外部事件，及时进行危机处理，召开营销会议等活动进行应急战略、战术调整，高效对各环境变化做出反应。</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4）营造全员学习的环境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领导非常重视员工的培训和学习，积极建设学习型组织，构建了“多层级培训发展体系”，针对高层、中层、基层、专业人员、新员工等开展丰富多样的培训活动。并采用外派与内训、线上线下相结合方式给予员工最全面、便捷的学习途径。为了创造一个更好的环境，公司</w:t>
      </w:r>
      <w:r>
        <w:t>配备</w:t>
      </w:r>
      <w:r>
        <w:rPr>
          <w:rFonts w:hint="eastAsia"/>
        </w:rPr>
        <w:t>了</w:t>
      </w:r>
      <w:r>
        <w:t>先进的多媒体教学设施，宽敞舒适的学习环境，完善的培训教学的软件资源。</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为保证准确的识别培训需求、制定并实施培训计划，公司每年发放《公司员工培训需求调查表》，以此收集各部门员工的培训需求，并以此制定培训计划。依据总体培训规划，公司明确了分级培训体系，分别针对高管人员、中层人员和基层人员确定相应的培训内容及培训方式，使得培训项目的实施更加符合公司整体战略发展规划。</w:t>
      </w: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4</w:t>
      </w:r>
      <w:r>
        <w:rPr>
          <w:sz w:val="21"/>
          <w:szCs w:val="21"/>
        </w:rPr>
        <w:fldChar w:fldCharType="end"/>
      </w:r>
      <w:r>
        <w:rPr>
          <w:rFonts w:hint="eastAsia"/>
          <w:sz w:val="21"/>
          <w:szCs w:val="21"/>
        </w:rPr>
        <w:t xml:space="preserve"> </w:t>
      </w:r>
      <w:r>
        <w:rPr>
          <w:sz w:val="21"/>
          <w:szCs w:val="21"/>
        </w:rPr>
        <w:t>培训层级体系表</w:t>
      </w:r>
    </w:p>
    <w:tbl>
      <w:tblPr>
        <w:tblStyle w:val="11"/>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4904"/>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jc w:val="center"/>
        </w:trPr>
        <w:tc>
          <w:tcPr>
            <w:tcW w:w="1135"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ascii="微软雅黑" w:hAnsi="微软雅黑" w:eastAsia="微软雅黑"/>
                <w:b/>
                <w:sz w:val="21"/>
                <w:szCs w:val="21"/>
              </w:rPr>
              <w:t>培训级别</w:t>
            </w:r>
          </w:p>
        </w:tc>
        <w:tc>
          <w:tcPr>
            <w:tcW w:w="4904"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ascii="微软雅黑" w:hAnsi="微软雅黑" w:eastAsia="微软雅黑"/>
                <w:b/>
                <w:sz w:val="21"/>
                <w:szCs w:val="21"/>
              </w:rPr>
              <w:t>主要培训内容</w:t>
            </w:r>
          </w:p>
        </w:tc>
        <w:tc>
          <w:tcPr>
            <w:tcW w:w="2945"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ascii="微软雅黑" w:hAnsi="微软雅黑" w:eastAsia="微软雅黑"/>
                <w:b/>
                <w:sz w:val="21"/>
                <w:szCs w:val="21"/>
              </w:rPr>
              <w:t>培训方式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113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高管人员</w:t>
            </w:r>
          </w:p>
        </w:tc>
        <w:tc>
          <w:tcPr>
            <w:tcW w:w="4904"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侧重于观念、理念方面，此外还有市场经济所要求的系统管理理论和技能，如管理学、组织行为学、市场营销、企业经营战略、企业经营过程控制、领导科学与艺术等。</w:t>
            </w:r>
          </w:p>
        </w:tc>
        <w:tc>
          <w:tcPr>
            <w:tcW w:w="294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以外派培训为主。诸如，有计划地安排高层管理者参加MBA学习、总裁高级研修班、高级论坛、赴外地考察等等。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3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中层人员</w:t>
            </w:r>
          </w:p>
        </w:tc>
        <w:tc>
          <w:tcPr>
            <w:tcW w:w="4904"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管理基本知识与技能：管理学、组织行为学、人力资源开发与管理、市场学、领导科学与艺术等课程。</w:t>
            </w:r>
          </w:p>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业务知识与技能：负责的业务领域如技术、销售等领域的知识与技能。</w:t>
            </w:r>
          </w:p>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工作改进：工作分配、工作方法的改进、工作流程的改进。</w:t>
            </w:r>
          </w:p>
        </w:tc>
        <w:tc>
          <w:tcPr>
            <w:tcW w:w="294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以公司内训为主，外训为辅。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3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基层人员</w:t>
            </w:r>
          </w:p>
        </w:tc>
        <w:tc>
          <w:tcPr>
            <w:tcW w:w="4904"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针对在岗员工岗位职责、专业技能、操作规程、业务流程等进行反复强化培训，以使员工在充分掌握理论的基础上，能自由地应用、发挥、提高。</w:t>
            </w:r>
          </w:p>
        </w:tc>
        <w:tc>
          <w:tcPr>
            <w:tcW w:w="294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参考中层管理人员。</w:t>
            </w:r>
          </w:p>
        </w:tc>
      </w:tr>
    </w:tbl>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此外，公司还注重员工自我学习氛围的构建，强调员工在工作之余不断自我学习的重要性，以此培育“与时俱进”的学习文化。</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d）履行确保组织所提供产品和服务质量安全的责任</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在</w:t>
      </w:r>
      <w:r>
        <w:rPr>
          <w:rFonts w:hint="eastAsia"/>
          <w:lang w:val="en-US" w:eastAsia="zh-CN"/>
        </w:rPr>
        <w:t>不锈钢无缝钢管</w:t>
      </w:r>
      <w:r>
        <w:rPr>
          <w:rFonts w:hint="eastAsia"/>
        </w:rPr>
        <w:t>领域，产品品质、技术创新有着同等重要的位置，追求卓越的产品品质和领先的研发技术是一条漫长的道路。</w:t>
      </w:r>
      <w:r>
        <w:rPr>
          <w:rFonts w:hint="eastAsia"/>
          <w:lang w:eastAsia="zh-CN"/>
        </w:rPr>
        <w:t>信得达</w:t>
      </w:r>
      <w:r>
        <w:rPr>
          <w:rFonts w:hint="eastAsia"/>
        </w:rPr>
        <w:t>在坚持不懈中，高层领导始终坚持完善服务体系，努力提高产品品质，以市场规律为依据立足市场，在质和量的矛盾面前，确保产品质量再扩大产量、规模，以品质取胜。</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为履行确保组织所提供产品和服务的质量安全的职责，引导组织承担质量安全主体责任，</w:t>
      </w:r>
      <w:r>
        <w:t>公司</w:t>
      </w:r>
      <w:r>
        <w:rPr>
          <w:rFonts w:hint="eastAsia"/>
        </w:rPr>
        <w:t>从价值链角度对包括设计开发、采购、生产、质量管理、销售等涉及产品和服务质量安全的过程进行了梳理、识别和分析，并根据创新与效率原则对过程进行设计，充分运用绩效系统对过程的实施进行监控，关注过程输入与输出，持续改进，形成有效的PDCA循环。为了保证所设计的流程能够有效的执行，公司针对每一过程分别制定操作说明书，并定期进行考核与监控</w:t>
      </w:r>
      <w:r>
        <w:t>。</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公司内部导入并运行</w:t>
      </w:r>
      <w:r>
        <w:rPr>
          <w:rFonts w:hint="eastAsia"/>
          <w:lang w:val="en-US" w:eastAsia="zh-CN"/>
        </w:rPr>
        <w:t>GB/T19001-2016/IS09001 :2015</w:t>
      </w:r>
      <w:r>
        <w:rPr>
          <w:rFonts w:hint="eastAsia"/>
        </w:rPr>
        <w:t xml:space="preserve"> 和</w:t>
      </w:r>
      <w:r>
        <w:rPr>
          <w:rFonts w:hint="eastAsia"/>
          <w:lang w:val="en-US" w:eastAsia="zh-CN"/>
        </w:rPr>
        <w:t>GB/T24001-2016/IS014001:2015</w:t>
      </w:r>
      <w:r>
        <w:rPr>
          <w:rFonts w:hint="eastAsia"/>
        </w:rPr>
        <w:t>、</w:t>
      </w:r>
      <w:r>
        <w:rPr>
          <w:rFonts w:hint="eastAsia"/>
          <w:lang w:val="en-US" w:eastAsia="zh-CN"/>
        </w:rPr>
        <w:t>GB/T45001-2020/IS045001:2018</w:t>
      </w:r>
      <w:r>
        <w:rPr>
          <w:rFonts w:hint="eastAsia"/>
        </w:rPr>
        <w:t>质量管理体系，以质取胜，以创新拓市场，成为行业之标杆。在履行确保组织所提供产品和服务质量安全的责任方面，公司在原料采购上对各原材料实施订单协议收购，强化对采购原材料的检验及质量全过程控制。</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此外，公司</w:t>
      </w:r>
      <w:r>
        <w:t>完善的质量控制管理体系有效保证了产品质量的稳定</w:t>
      </w:r>
      <w:r>
        <w:rPr>
          <w:rFonts w:hint="eastAsia"/>
        </w:rPr>
        <w:t>，已制定了多项具体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e）推进品牌建设，提高产品质量和服务水平</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为推进品牌建设，公司依据发展战略目标，制定了相应的品牌发展规划，通过积极参与行业协会活动、加大技术创新投入、完善渠道建设及售后服务等方式不断提高产品质量和服务水平。</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以品牌为基础，推进文化</w:t>
      </w:r>
      <w:r>
        <w:rPr>
          <w:rFonts w:hint="eastAsia"/>
          <w:lang w:val="en-US"/>
        </w:rPr>
        <w:t>建设</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公司成立之初便创建了自己的品牌</w:t>
      </w:r>
      <w:r>
        <w:rPr>
          <w:rFonts w:hint="eastAsia"/>
          <w:lang w:val="en-US"/>
        </w:rPr>
        <w:t>“</w:t>
      </w:r>
      <w:r>
        <w:rPr>
          <w:rFonts w:hint="eastAsia"/>
          <w:lang w:val="en-US" w:eastAsia="zh-CN"/>
        </w:rPr>
        <w:t>信得达</w:t>
      </w:r>
      <w:r>
        <w:rPr>
          <w:rFonts w:hint="eastAsia"/>
          <w:lang w:val="en-US"/>
        </w:rPr>
        <w:t>”</w:t>
      </w:r>
      <w:r>
        <w:rPr>
          <w:rFonts w:hint="eastAsia"/>
        </w:rPr>
        <w:t>，一直致力于走自主品牌建设之路</w:t>
      </w:r>
      <w:r>
        <w:rPr>
          <w:rFonts w:hint="eastAsia"/>
          <w:lang w:eastAsia="zh-CN"/>
        </w:rPr>
        <w:t>，</w:t>
      </w:r>
      <w:r>
        <w:rPr>
          <w:rFonts w:hint="eastAsia"/>
        </w:rPr>
        <w:t>公司在品牌建设方面下足了功夫。</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f）强化风险意识以推动组织持续经营，积极培养组织未来的领导者</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1）提升风险管理意识，推动组织持续经营</w:t>
      </w:r>
    </w:p>
    <w:p>
      <w:pPr>
        <w:spacing w:line="360" w:lineRule="auto"/>
        <w:ind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公司创立至今，在取得众多成就的同时，不断强化风险意识，推动组织的持续经营。为此，公司经营管理团队严格把控各部门工作中可能存在的风险点，密切关注外部环境中的潜在风险因素，积极采取风险预防措施，在国家政策、市场需求、产品质量、财务资金、运营管理等方面严格推行风险监测与保持风险敏感性，高层领导不断向公司各级员工灌输风险意识，强调市场竞争的残酷性及环境的复杂性，最小化各种潜在风险对公司的影响。在内部运营风险管理方面，公司对主要内部运营风险评价指标进行识别并采取预防措施，如财务管理每年定期对应收账款进行动态跟踪与管理，防范呆账和坏账风险。</w:t>
      </w: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5</w:t>
      </w:r>
      <w:r>
        <w:rPr>
          <w:sz w:val="21"/>
          <w:szCs w:val="21"/>
        </w:rPr>
        <w:fldChar w:fldCharType="end"/>
      </w:r>
      <w:r>
        <w:rPr>
          <w:rFonts w:hint="eastAsia"/>
          <w:sz w:val="21"/>
          <w:szCs w:val="21"/>
        </w:rPr>
        <w:t xml:space="preserve"> </w:t>
      </w:r>
      <w:r>
        <w:rPr>
          <w:rFonts w:hint="eastAsia"/>
          <w:sz w:val="21"/>
          <w:szCs w:val="21"/>
          <w:lang w:val="en-US" w:eastAsia="zh-CN"/>
        </w:rPr>
        <w:t>信得达</w:t>
      </w:r>
      <w:r>
        <w:rPr>
          <w:rFonts w:hint="eastAsia"/>
          <w:sz w:val="21"/>
          <w:szCs w:val="21"/>
        </w:rPr>
        <w:t>风险管理所采取的行动示例</w:t>
      </w:r>
    </w:p>
    <w:tbl>
      <w:tblPr>
        <w:tblStyle w:val="11"/>
        <w:tblW w:w="90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9"/>
        <w:gridCol w:w="1840"/>
        <w:gridCol w:w="2551"/>
        <w:gridCol w:w="3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blHeader/>
          <w:jc w:val="center"/>
        </w:trPr>
        <w:tc>
          <w:tcPr>
            <w:tcW w:w="679"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风险类型</w:t>
            </w:r>
          </w:p>
        </w:tc>
        <w:tc>
          <w:tcPr>
            <w:tcW w:w="1840"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可能的负面影响</w:t>
            </w:r>
          </w:p>
        </w:tc>
        <w:tc>
          <w:tcPr>
            <w:tcW w:w="2551"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导致风险的主要因素</w:t>
            </w:r>
          </w:p>
        </w:tc>
        <w:tc>
          <w:tcPr>
            <w:tcW w:w="3933"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风险控制措施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经营决策失误导致公司经营问题</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产业政策变化、市场分析与定位不准、战略决策过程不合理等</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成立战略管理小组，完善战略管理流程，运用科学的战略分析与制定工具，确保战略落地；建立战略监控管理机制，定期动态调整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财务风险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财务危机，影响收益，导致经营困境</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税收、汇率等财务环境变化，投资、筹资措施不科学，资金回收与管理不善，分配政策不规范</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建立完善的财务管理体系，健全全面预算管理、建立财务风险管控机制、不断提升资金周转率和使用效率等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品牌风险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品牌损害</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重大质量事故或因舆情监控管理不当导致</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持续完善内部品牌管理过程，建立舆情监控系统，维护品牌知名度与美誉度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法律追责、产品失信</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产品设计考虑不周、生产技术水平不够、生产过程把关不严</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建立产品全生命周期管理体系，从设计-采购-生产-物流-营销-售后服务等全过程管控质量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安全风险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员工人身损害，资产损失，法律追责</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全员安全意识不足、日常管理不规范、安全防护措施不到位</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建立安全生产责任制，强化员工安全意识，定期开展安全生产培训，提升安全管理水平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环境风险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环境变化影响正常经营</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气候恶劣变化、“三废”排放等</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持续完善环境管理体系，每年开展关键场所环境影响因素的识别、评价和应对工作，建立方针、目标和管理方案等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市场风险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产品市场认可度降低、市场占有率降低</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市场客户意见反馈处理不到位，产品售后服务不及时，产品上市管理不足</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关注竞争对手、标杆企业的动态，分析市场竞争成功要素，努力形成自身核心竞争优势，把握市场变化，产品研发创新，并通过品牌营销，提升品牌形象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人才风险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人才流失、后备人才不足、关键岗位人才缺失、人员工作积极性不足</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人才选拔、培养、配置、激励机制不健全，人才梯队建设不到位</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注重人员内部培训与外部引进；建立储备干部培养制度，并重点培养、考察，逐步培养企业核心人才及未来领导者</w:t>
            </w:r>
          </w:p>
        </w:tc>
      </w:tr>
    </w:tbl>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2</w:t>
      </w:r>
      <w:r>
        <w:rPr>
          <w:rFonts w:hint="eastAsia"/>
        </w:rPr>
        <w:t>）加强未来管理者培养，建立组织人才梯队</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为确保组织的延续性，根据人力资源发展规划，公司在人力资源管理过程中设定人才梯队建设这一关键绩效指标，定期开展人才盘点工作，识别组织的关键岗位及后备管理人员，对关键岗位继任者进行甄选、组织管理形式、培养方式、评估、晋升等内容进行梳理。</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同时，公司针对不同类型岗位开展针对性的培训，通过专业技能、管理学科等方面的培训提升综合素质，结合公司内部培训以及外部培训、岗位轮换等方式，不断提升各级领导者的综合领导力。</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g）定期评价组织绩效并不断提升改进</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1</w:t>
      </w:r>
      <w:r>
        <w:rPr>
          <w:rFonts w:hint="eastAsia"/>
        </w:rPr>
        <w:t>）建立科学的绩效评价体系以评价组织绩效</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高层领导从财务、顾客与市场、内部运营、学习与成长、战略管理等方面定期评估组织的绩效和能力，并适时调整，持续改进，追求卓越绩效，提升组织的应变能力。</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高层领导为了实现战略目标和行动计划，推行以目标管理为主的方法。每年的经营任务指标和方针确定后，将公司的年度经营任务目标化解成每季每月目标，向全体员工传达、分解，确保每一位员工都了解当年的目标任务。</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公司高层领导进行绩效评审，并对未完成的指标加以明确，并进行跟踪，及时掌握指标完成情况，必要时采取适当措施。</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通过年度形势分析会、年度战略研讨会、月度例会、绩效考核等方式，定期对关键绩效指标、战略经营情况、生产经营指标、日常运营情况进行审核、评价，以不断改进组织绩效，采取必要的行动。</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通过每月的成本、绩效考核、项目的分阶段例会等活动，对公司取得的阶段性经营结果、成功案例进行分析，及时总结，及时推广。</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领导在年度战略讨论期间确立下年度公司层面的总体目标，各个部门根据目标进行分解，制定各自的行动计划。本年度的行动计划由总经理签署后实施。每月举办一次业务工作会议，对目标进度进行回顾和比较，由负责人汇报工作情况及下一阶段的工作实施计划。同时，高层领导积极引入先进的管理工具。</w:t>
      </w: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6</w:t>
      </w:r>
      <w:r>
        <w:rPr>
          <w:sz w:val="21"/>
          <w:szCs w:val="21"/>
        </w:rPr>
        <w:fldChar w:fldCharType="end"/>
      </w:r>
      <w:r>
        <w:rPr>
          <w:rFonts w:hint="eastAsia"/>
          <w:sz w:val="21"/>
          <w:szCs w:val="21"/>
        </w:rPr>
        <w:t xml:space="preserve"> 公司组织绩效评审方式示例</w:t>
      </w:r>
    </w:p>
    <w:tbl>
      <w:tblPr>
        <w:tblStyle w:val="11"/>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3210"/>
        <w:gridCol w:w="2755"/>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56"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评价模块</w:t>
            </w:r>
          </w:p>
        </w:tc>
        <w:tc>
          <w:tcPr>
            <w:tcW w:w="3210"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评价内容</w:t>
            </w:r>
          </w:p>
        </w:tc>
        <w:tc>
          <w:tcPr>
            <w:tcW w:w="2755"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评价方法</w:t>
            </w:r>
          </w:p>
        </w:tc>
        <w:tc>
          <w:tcPr>
            <w:tcW w:w="1648"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restart"/>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长短期绩效目标达成情况</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关键绩效指标达成情况</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经营分析会议、总结会议等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月度、季度、半年度、年度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continue"/>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widowControl/>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战略实施情况、战略调整</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战略研讨会</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竞争绩效</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主要指标与标杆和竞争对手对比</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对比分析等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restart"/>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体系管理有效性</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各项管理体系运行情况</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运营部等部门内部审核</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continue"/>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widowControl/>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生产、消防安全及职业健康工作落实情况</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行政部</w:t>
            </w:r>
            <w:r>
              <w:rPr>
                <w:rFonts w:hint="eastAsia" w:asciiTheme="minorEastAsia" w:hAnsiTheme="minorEastAsia" w:eastAsiaTheme="minorEastAsia" w:cstheme="minorEastAsia"/>
                <w:sz w:val="21"/>
                <w:szCs w:val="21"/>
              </w:rPr>
              <w:t>、生产部等相关部门进行评审</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社会责任</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公益支持、相关方利益的保护等</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各相关方信息反馈、公益支持计划完成情况等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年度</w:t>
            </w:r>
          </w:p>
        </w:tc>
      </w:tr>
    </w:tbl>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2）确定和落实改进关键业务的优先次序，识别改进与创新机会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高层领导通过战略研讨会、管理评审会、定期的经营分析会等方式评价公司的关键绩效指标，以识别改进和创新的重点。根据绩效评审结果，按照与公司使命、愿景、目标、顾客满意度等相关性大小，确定改进问题，明确改进优先次序并识别创新机会，通过“立项”方式，明确责任部门和责任人，对改进计划采取重责考评限期改进等办法推进落实。一方面做好内部策划实施，另一方面及时沟通合作伙伴，以便步调一致，协同创新。</w:t>
      </w:r>
    </w:p>
    <w:p>
      <w:pPr>
        <w:pStyle w:val="2"/>
        <w:keepNext w:val="0"/>
        <w:keepLines w:val="0"/>
        <w:pageBreakBefore w:val="0"/>
        <w:numPr>
          <w:ilvl w:val="0"/>
          <w:numId w:val="3"/>
        </w:numPr>
        <w:kinsoku/>
        <w:wordWrap/>
        <w:overflowPunct/>
        <w:topLinePunct w:val="0"/>
        <w:autoSpaceDE w:val="0"/>
        <w:autoSpaceDN w:val="0"/>
        <w:bidi w:val="0"/>
        <w:spacing w:line="360" w:lineRule="auto"/>
        <w:ind w:left="0" w:right="0" w:firstLine="562" w:firstLineChars="200"/>
        <w:jc w:val="both"/>
        <w:textAlignment w:val="auto"/>
        <w:rPr>
          <w:b/>
          <w:bCs/>
        </w:rPr>
      </w:pPr>
      <w:bookmarkStart w:id="6" w:name="三、守法合规"/>
      <w:bookmarkEnd w:id="6"/>
      <w:bookmarkStart w:id="7" w:name="_Toc24531707"/>
      <w:r>
        <w:rPr>
          <w:b/>
          <w:bCs/>
        </w:rPr>
        <w:t>守法合规</w:t>
      </w:r>
      <w:bookmarkEnd w:id="7"/>
    </w:p>
    <w:p>
      <w:pPr>
        <w:pStyle w:val="4"/>
        <w:keepNext w:val="0"/>
        <w:keepLines w:val="0"/>
        <w:pageBreakBefore w:val="0"/>
        <w:kinsoku/>
        <w:wordWrap/>
        <w:overflowPunct/>
        <w:topLinePunct w:val="0"/>
        <w:autoSpaceDE w:val="0"/>
        <w:autoSpaceDN w:val="0"/>
        <w:bidi w:val="0"/>
        <w:spacing w:line="360" w:lineRule="auto"/>
        <w:ind w:left="0" w:right="0" w:firstLine="452" w:firstLineChars="200"/>
        <w:jc w:val="both"/>
        <w:textAlignment w:val="auto"/>
      </w:pPr>
      <w:r>
        <w:rPr>
          <w:spacing w:val="-7"/>
        </w:rPr>
        <w:t>公司遵守商业道德和法律规定，建立了完备的合规体系。</w:t>
      </w:r>
      <w:r>
        <w:rPr>
          <w:rFonts w:hint="eastAsia"/>
          <w:spacing w:val="-7"/>
          <w:lang w:eastAsia="zh-CN"/>
        </w:rPr>
        <w:t>信得达</w:t>
      </w:r>
      <w:r>
        <w:rPr>
          <w:spacing w:val="-7"/>
        </w:rPr>
        <w:t>合规体系包</w:t>
      </w:r>
      <w:r>
        <w:rPr>
          <w:spacing w:val="-21"/>
        </w:rPr>
        <w:t>括内部合规制度、内部合规通报体系、内部监督制度和惩戒制度，重点关注环境、</w:t>
      </w:r>
      <w:r>
        <w:t>商业伦理、产品质量和供应链领域。</w:t>
      </w:r>
    </w:p>
    <w:p>
      <w:pPr>
        <w:pStyle w:val="4"/>
        <w:keepNext w:val="0"/>
        <w:keepLines w:val="0"/>
        <w:pageBreakBefore w:val="0"/>
        <w:kinsoku/>
        <w:wordWrap/>
        <w:overflowPunct/>
        <w:topLinePunct w:val="0"/>
        <w:autoSpaceDE w:val="0"/>
        <w:autoSpaceDN w:val="0"/>
        <w:bidi w:val="0"/>
        <w:spacing w:line="360" w:lineRule="auto"/>
        <w:ind w:left="0" w:right="0" w:firstLine="448" w:firstLineChars="200"/>
        <w:jc w:val="both"/>
        <w:textAlignment w:val="auto"/>
      </w:pPr>
      <w:r>
        <w:rPr>
          <w:spacing w:val="-8"/>
        </w:rPr>
        <w:t>公司员工遵循诚实守信、平等公正、符合法规、不谋私利、利益回避和信息</w:t>
      </w:r>
      <w:r>
        <w:rPr>
          <w:spacing w:val="-10"/>
        </w:rPr>
        <w:t>保密等基本准则。对待同事平等尊重；对待客户以提供高品质的产品和服务为己任；对待供应商诚信公正寻求双赢。此外，公司设立了</w:t>
      </w:r>
      <w:r>
        <w:rPr>
          <w:rFonts w:hint="eastAsia"/>
          <w:spacing w:val="-10"/>
          <w:lang w:eastAsia="zh-CN"/>
        </w:rPr>
        <w:t>行政部</w:t>
      </w:r>
      <w:r>
        <w:rPr>
          <w:spacing w:val="-10"/>
        </w:rPr>
        <w:t>，还要求员工</w:t>
      </w:r>
      <w:r>
        <w:rPr>
          <w:spacing w:val="-7"/>
        </w:rPr>
        <w:t>在与政府等部门交易时必须要做到诚实、准确，严禁以公司或个人的名义向任何</w:t>
      </w:r>
      <w:r>
        <w:t>政府官员、党派等提供或许诺提供资金或财物以试图影响其决定。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2"/>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8" w:name="四、回报股东"/>
      <w:bookmarkEnd w:id="8"/>
      <w:bookmarkStart w:id="9" w:name="五、服务客户"/>
      <w:bookmarkEnd w:id="9"/>
      <w:bookmarkStart w:id="10" w:name="_Toc24531709"/>
      <w:r>
        <w:rPr>
          <w:rFonts w:hint="eastAsia"/>
          <w:b/>
          <w:bCs/>
          <w:lang w:val="en-US" w:eastAsia="zh-CN"/>
        </w:rPr>
        <w:t>四</w:t>
      </w:r>
      <w:r>
        <w:rPr>
          <w:b/>
          <w:bCs/>
        </w:rPr>
        <w:t>、服务客户</w:t>
      </w:r>
      <w:bookmarkEnd w:id="10"/>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很多客户对企业的评价当中相当多的原因不是由于产品质量服务等实质性</w:t>
      </w:r>
      <w:r>
        <w:rPr>
          <w:spacing w:val="-10"/>
        </w:rPr>
        <w:t>问题，而是企业与客户之间的沟通不够。因此，与客户保持沟通、特别是高层的</w:t>
      </w:r>
      <w:r>
        <w:rPr>
          <w:spacing w:val="-9"/>
        </w:rPr>
        <w:t>沟通渠道畅通是非常重要的，只有产品质量与服务质量双重保障才能获得客户的最终满意和认可。</w:t>
      </w:r>
      <w:r>
        <w:rPr>
          <w:rFonts w:hint="eastAsia"/>
          <w:spacing w:val="-9"/>
          <w:lang w:eastAsia="zh-CN"/>
        </w:rPr>
        <w:t>信得达</w:t>
      </w:r>
      <w:r>
        <w:rPr>
          <w:spacing w:val="-9"/>
        </w:rPr>
        <w:t>以机构改革为契机，从传统的产品制造商向现代化</w:t>
      </w:r>
      <w:r>
        <w:rPr>
          <w:rFonts w:hint="eastAsia"/>
          <w:spacing w:val="-8"/>
        </w:rPr>
        <w:t>生产</w:t>
      </w:r>
      <w:r>
        <w:rPr>
          <w:spacing w:val="-8"/>
        </w:rPr>
        <w:t>服务商转型，建立以市场为中心、以客户需求为重点的服务理念。机构改革</w:t>
      </w:r>
      <w:r>
        <w:rPr>
          <w:spacing w:val="-21"/>
        </w:rPr>
        <w:t>后，</w:t>
      </w:r>
      <w:r>
        <w:rPr>
          <w:rFonts w:hint="eastAsia"/>
          <w:spacing w:val="-21"/>
          <w:lang w:val="en-US"/>
        </w:rPr>
        <w:t>商务</w:t>
      </w:r>
      <w:r>
        <w:rPr>
          <w:spacing w:val="-21"/>
        </w:rPr>
        <w:t xml:space="preserve">部各自针对客户开展服务工作，不断优化服务流程，提升服务理念， </w:t>
      </w:r>
      <w:r>
        <w:rPr>
          <w:spacing w:val="-10"/>
        </w:rPr>
        <w:t>强化服务质量，急客户之所急，想客户之所想，在初期的工作中得到了客户的充</w:t>
      </w:r>
      <w:r>
        <w:t>分肯定。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2"/>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11" w:name="六、造福员工"/>
      <w:bookmarkEnd w:id="11"/>
      <w:bookmarkStart w:id="12" w:name="_Toc24531710"/>
      <w:r>
        <w:rPr>
          <w:rFonts w:hint="eastAsia"/>
          <w:b/>
          <w:bCs/>
          <w:lang w:val="en-US" w:eastAsia="zh-CN"/>
        </w:rPr>
        <w:t>五</w:t>
      </w:r>
      <w:r>
        <w:rPr>
          <w:b/>
          <w:bCs/>
        </w:rPr>
        <w:t>、造福员工</w:t>
      </w:r>
      <w:bookmarkEnd w:id="12"/>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rFonts w:hint="default" w:eastAsia="宋体"/>
          <w:highlight w:val="none"/>
          <w:lang w:val="en-US" w:eastAsia="zh-CN"/>
        </w:rPr>
      </w:pPr>
      <w:r>
        <w:rPr>
          <w:spacing w:val="-10"/>
          <w:highlight w:val="none"/>
        </w:rPr>
        <w:t>公司着力构建“</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合作、开放、责任、创新、高效</w:t>
      </w:r>
      <w:r>
        <w:rPr>
          <w:spacing w:val="-10"/>
          <w:highlight w:val="none"/>
        </w:rPr>
        <w:t>”的</w:t>
      </w:r>
      <w:r>
        <w:rPr>
          <w:highlight w:val="none"/>
        </w:rPr>
        <w:t>企业文化，不断提升企业的软实力，</w:t>
      </w:r>
      <w:r>
        <w:rPr>
          <w:rFonts w:hint="eastAsia"/>
          <w:highlight w:val="none"/>
          <w:lang w:val="en-US" w:eastAsia="zh-CN"/>
        </w:rPr>
        <w:t>提升员工幸福指数。</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5.1 </w:t>
      </w:r>
      <w:r>
        <w:rPr>
          <w:sz w:val="24"/>
        </w:rPr>
        <w:t>确保员工权益</w:t>
      </w:r>
    </w:p>
    <w:p>
      <w:pPr>
        <w:pStyle w:val="4"/>
        <w:keepNext w:val="0"/>
        <w:keepLines w:val="0"/>
        <w:pageBreakBefore w:val="0"/>
        <w:kinsoku/>
        <w:wordWrap/>
        <w:overflowPunct/>
        <w:topLinePunct w:val="0"/>
        <w:autoSpaceDE w:val="0"/>
        <w:autoSpaceDN w:val="0"/>
        <w:bidi w:val="0"/>
        <w:spacing w:line="360" w:lineRule="auto"/>
        <w:ind w:left="0" w:right="0" w:firstLine="452" w:firstLineChars="200"/>
        <w:jc w:val="both"/>
        <w:textAlignment w:val="auto"/>
      </w:pPr>
      <w:r>
        <w:rPr>
          <w:spacing w:val="-7"/>
        </w:rPr>
        <w:t>在全球经济形势不稳定、变化多变的影响下，在公司身处逆境的时候，如何处理好职工利益和公司的利益关系，稳定队伍，凝聚人心，储备人才，是摆在公司管理层面前一个重要难题。员工是企业最宝贵的财富，企业的发展离不开员工</w:t>
      </w:r>
      <w:r>
        <w:rPr>
          <w:spacing w:val="-21"/>
        </w:rPr>
        <w:t xml:space="preserve">的辛勤劳动，公司始终秉承企业与员工“共赢发展”的理念，在企业发展的同时， </w:t>
      </w:r>
      <w:r>
        <w:rPr>
          <w:spacing w:val="-8"/>
        </w:rPr>
        <w:t>没有忘记对员工的回报，并致力于提高和改善员工的工作环境，职业发展平台以</w:t>
      </w:r>
      <w:r>
        <w:t>及合适的收入。</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5.2 </w:t>
      </w:r>
      <w:r>
        <w:rPr>
          <w:sz w:val="24"/>
        </w:rPr>
        <w:t>重视职业健康安全</w:t>
      </w:r>
    </w:p>
    <w:p>
      <w:pPr>
        <w:pStyle w:val="4"/>
        <w:keepNext w:val="0"/>
        <w:keepLines w:val="0"/>
        <w:pageBreakBefore w:val="0"/>
        <w:kinsoku/>
        <w:wordWrap/>
        <w:overflowPunct/>
        <w:topLinePunct w:val="0"/>
        <w:autoSpaceDE w:val="0"/>
        <w:autoSpaceDN w:val="0"/>
        <w:bidi w:val="0"/>
        <w:spacing w:line="360" w:lineRule="auto"/>
        <w:ind w:left="0" w:right="0" w:firstLine="452" w:firstLineChars="200"/>
        <w:jc w:val="both"/>
        <w:textAlignment w:val="auto"/>
        <w:rPr>
          <w:rFonts w:ascii="宋体" w:hAnsi="宋体" w:eastAsia="宋体" w:cs="宋体"/>
          <w:spacing w:val="-7"/>
          <w:sz w:val="24"/>
          <w:szCs w:val="24"/>
          <w:lang w:val="zh-CN" w:eastAsia="zh-CN" w:bidi="zh-CN"/>
        </w:rPr>
      </w:pPr>
      <w:r>
        <w:rPr>
          <w:rFonts w:ascii="宋体" w:hAnsi="宋体" w:eastAsia="宋体" w:cs="宋体"/>
          <w:spacing w:val="-7"/>
          <w:sz w:val="24"/>
          <w:szCs w:val="24"/>
          <w:lang w:val="zh-CN" w:eastAsia="zh-CN" w:bidi="zh-CN"/>
        </w:rPr>
        <w:t>公司始终坚持“</w:t>
      </w:r>
      <w:r>
        <w:rPr>
          <w:rFonts w:hint="eastAsia" w:cs="宋体"/>
          <w:spacing w:val="-7"/>
          <w:sz w:val="24"/>
          <w:szCs w:val="24"/>
          <w:lang w:val="zh-CN" w:eastAsia="zh-CN" w:bidi="zh-CN"/>
        </w:rPr>
        <w:t>节能降耗，防治污染，保护环境；安全第一，保障健康，减少风险；全员参与，遵守法规，持续改进</w:t>
      </w:r>
      <w:r>
        <w:rPr>
          <w:rFonts w:hint="eastAsia" w:ascii="宋体" w:hAnsi="宋体" w:eastAsia="宋体" w:cs="宋体"/>
          <w:spacing w:val="-7"/>
          <w:sz w:val="24"/>
          <w:szCs w:val="24"/>
          <w:lang w:val="zh-CN" w:eastAsia="zh-CN" w:bidi="zh-CN"/>
        </w:rPr>
        <w:t>安全第一，预防改进；行为规范，健康和谐</w:t>
      </w:r>
      <w:r>
        <w:rPr>
          <w:rFonts w:ascii="宋体" w:hAnsi="宋体" w:eastAsia="宋体" w:cs="宋体"/>
          <w:spacing w:val="-7"/>
          <w:sz w:val="24"/>
          <w:szCs w:val="24"/>
          <w:lang w:val="zh-CN" w:eastAsia="zh-CN" w:bidi="zh-CN"/>
        </w:rPr>
        <w:t>”的方针</w:t>
      </w:r>
      <w:r>
        <w:rPr>
          <w:rFonts w:hint="eastAsia" w:ascii="宋体" w:hAnsi="宋体" w:eastAsia="宋体" w:cs="宋体"/>
          <w:spacing w:val="-7"/>
          <w:sz w:val="24"/>
          <w:szCs w:val="24"/>
          <w:lang w:val="zh-CN" w:eastAsia="zh-CN" w:bidi="zh-CN"/>
        </w:rPr>
        <w:t>，</w:t>
      </w:r>
      <w:r>
        <w:rPr>
          <w:rFonts w:ascii="宋体" w:hAnsi="宋体" w:eastAsia="宋体" w:cs="宋体"/>
          <w:spacing w:val="-7"/>
          <w:sz w:val="24"/>
          <w:szCs w:val="24"/>
          <w:lang w:val="zh-CN" w:eastAsia="zh-CN" w:bidi="zh-CN"/>
        </w:rPr>
        <w:t>以超前预防作为安全工作的核心，以安全生产责任制为重点，以安全评价、考核、责任追究和过程动态控制为手段， 以安全教育培训为保障，以安全生产标准化为主体，建立安全生产的长效机制。</w:t>
      </w:r>
    </w:p>
    <w:p>
      <w:pPr>
        <w:pStyle w:val="4"/>
        <w:keepNext w:val="0"/>
        <w:keepLines w:val="0"/>
        <w:pageBreakBefore w:val="0"/>
        <w:kinsoku/>
        <w:wordWrap/>
        <w:overflowPunct/>
        <w:topLinePunct w:val="0"/>
        <w:autoSpaceDE w:val="0"/>
        <w:autoSpaceDN w:val="0"/>
        <w:bidi w:val="0"/>
        <w:spacing w:line="360" w:lineRule="auto"/>
        <w:ind w:left="0" w:right="0" w:firstLine="452" w:firstLineChars="200"/>
        <w:jc w:val="both"/>
        <w:textAlignment w:val="auto"/>
        <w:rPr>
          <w:spacing w:val="-4"/>
        </w:rPr>
      </w:pPr>
      <w:r>
        <w:rPr>
          <w:rFonts w:ascii="宋体" w:hAnsi="宋体" w:eastAsia="宋体" w:cs="宋体"/>
          <w:spacing w:val="-7"/>
          <w:sz w:val="24"/>
          <w:szCs w:val="24"/>
          <w:lang w:val="zh-CN" w:eastAsia="zh-CN" w:bidi="zh-CN"/>
        </w:rPr>
        <w:t>公司十分重视、关爱员工的健康，除了按照国家及地方有关社会保险方面的法律、</w:t>
      </w:r>
      <w:r>
        <w:rPr>
          <w:spacing w:val="-22"/>
        </w:rPr>
        <w:t>法规参加社会养老保险、基本医疗保险、工伤保险、生育险等社会保险</w:t>
      </w:r>
      <w:r>
        <w:rPr>
          <w:rFonts w:hint="eastAsia"/>
          <w:spacing w:val="-22"/>
        </w:rPr>
        <w:t>，</w:t>
      </w:r>
      <w:r>
        <w:rPr>
          <w:spacing w:val="-4"/>
        </w:rPr>
        <w:t>让职工更多的享受医疗保障，适度减轻个人住院费用负担、解决特殊工种岗位疾病导致的经济损失、补偿经常出差在外职工疾病、意外伤害和乘坐交通工具所引发的风险带来的损失，尽力完善员工的保障</w:t>
      </w:r>
      <w:r>
        <w:rPr>
          <w:rFonts w:hint="eastAsia"/>
          <w:spacing w:val="-4"/>
        </w:rPr>
        <w:t>范围，免除员工的后顾之忧。</w:t>
      </w:r>
    </w:p>
    <w:p>
      <w:pPr>
        <w:pStyle w:val="4"/>
        <w:keepNext w:val="0"/>
        <w:keepLines w:val="0"/>
        <w:pageBreakBefore w:val="0"/>
        <w:kinsoku/>
        <w:wordWrap/>
        <w:overflowPunct/>
        <w:topLinePunct w:val="0"/>
        <w:autoSpaceDE w:val="0"/>
        <w:autoSpaceDN w:val="0"/>
        <w:bidi w:val="0"/>
        <w:spacing w:line="360" w:lineRule="auto"/>
        <w:ind w:left="0" w:right="0" w:firstLine="464" w:firstLineChars="200"/>
        <w:jc w:val="both"/>
        <w:textAlignment w:val="auto"/>
      </w:pPr>
      <w:r>
        <w:rPr>
          <w:rFonts w:hint="eastAsia"/>
          <w:spacing w:val="-4"/>
        </w:rPr>
        <w:t>公司也十分重视职工群众的身心健康，内部成立的各类文娱小组</w:t>
      </w:r>
      <w:r>
        <w:rPr>
          <w:spacing w:val="-4"/>
        </w:rPr>
        <w:t>，积极开展活</w:t>
      </w:r>
      <w:r>
        <w:rPr>
          <w:spacing w:val="-21"/>
        </w:rPr>
        <w:t xml:space="preserve">动，并组织了包括篮球、羽毛球等多场比赛。职工可以根据自己的爱好特长和情趣， </w:t>
      </w:r>
      <w:r>
        <w:rPr>
          <w:spacing w:val="-7"/>
        </w:rPr>
        <w:t>展示自己的才华，提升品味，充实精神生活，既活跃了职工的精神生活，也增强了企业的向心力和凝聚力。</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5.3 </w:t>
      </w:r>
      <w:r>
        <w:rPr>
          <w:sz w:val="24"/>
        </w:rPr>
        <w:t>拓展员工职业成长</w:t>
      </w:r>
    </w:p>
    <w:p>
      <w:pPr>
        <w:pStyle w:val="4"/>
        <w:keepNext w:val="0"/>
        <w:keepLines w:val="0"/>
        <w:pageBreakBefore w:val="0"/>
        <w:kinsoku/>
        <w:wordWrap/>
        <w:overflowPunct/>
        <w:topLinePunct w:val="0"/>
        <w:autoSpaceDE w:val="0"/>
        <w:autoSpaceDN w:val="0"/>
        <w:bidi w:val="0"/>
        <w:spacing w:line="360" w:lineRule="auto"/>
        <w:ind w:left="0" w:right="0" w:firstLine="464" w:firstLineChars="200"/>
        <w:jc w:val="both"/>
        <w:textAlignment w:val="auto"/>
      </w:pPr>
      <w:r>
        <w:rPr>
          <w:spacing w:val="-4"/>
        </w:rPr>
        <w:t>随着公司产品结构优化调整步伐加快以及尽快提高公司技术创新能力，适应</w:t>
      </w:r>
      <w:r>
        <w:rPr>
          <w:spacing w:val="-10"/>
        </w:rPr>
        <w:t>市场对科技人才的需求，现有技术人员资源已不能满足公司发展的需要，为保证</w:t>
      </w:r>
      <w:r>
        <w:rPr>
          <w:spacing w:val="-13"/>
        </w:rPr>
        <w:t>公司各技术岗位能够及时有效地补充所需的优秀人才，适时、适度、适量地招收</w:t>
      </w:r>
      <w:r>
        <w:rPr>
          <w:spacing w:val="-17"/>
        </w:rPr>
        <w:t>一批不同地区不同学校的优秀大中专应届毕业生，并加以培养，使其尽快胜任工作，解决公司现有人力资源不足，改善公司人才结构，提高公司人才创新能力。</w:t>
      </w: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公司在招聘引进人才的同时，注重人才培养措施，根据公司发展的需要和稳</w:t>
      </w:r>
      <w:r>
        <w:rPr>
          <w:spacing w:val="-12"/>
        </w:rPr>
        <w:t>定人才的工作实际，建立技术、管理、技能人才骨干队伍，争取逐步形成结构合</w:t>
      </w:r>
      <w:r>
        <w:rPr>
          <w:spacing w:val="-11"/>
        </w:rPr>
        <w:t>理、高效精干的人才队伍群体，以满足公司参与市场竞争和追赶世界先进水平的</w:t>
      </w:r>
      <w:r>
        <w:rPr>
          <w:spacing w:val="-20"/>
        </w:rPr>
        <w:t>需要。为此，企业制定了人才培养措施和人才培训计划，面向市场和研发，实施人力结构调整，着力建设后备人才库、</w:t>
      </w:r>
      <w:r>
        <w:rPr>
          <w:spacing w:val="-8"/>
        </w:rPr>
        <w:t>开发分类课程、优化内部讲师队伍、打造校企合作基地、依托网络系统搭建</w:t>
      </w:r>
      <w:r>
        <w:rPr>
          <w:rFonts w:hint="eastAsia"/>
          <w:spacing w:val="-8"/>
          <w:lang w:eastAsia="zh-CN"/>
        </w:rPr>
        <w:t>信得达</w:t>
      </w:r>
      <w:r>
        <w:rPr>
          <w:spacing w:val="-12"/>
        </w:rPr>
        <w:t>网络学习平台，重点实施营销人才、核心管理人才、关键技术人才、重点高技</w:t>
      </w:r>
      <w:r>
        <w:rPr>
          <w:spacing w:val="-11"/>
        </w:rPr>
        <w:t>能人才、班组长、三年以内新员工、第二能力开发等几大人才培育专项工程。这</w:t>
      </w:r>
      <w:r>
        <w:rPr>
          <w:spacing w:val="-13"/>
        </w:rPr>
        <w:t>些措施计划，有利于增强人才队伍的责任感和使命感，强化企业荣誉感和忠诚教</w:t>
      </w:r>
      <w:r>
        <w:rPr>
          <w:spacing w:val="-11"/>
        </w:rPr>
        <w:t>育度，提高人才队伍的工作主动性、创造紧迫性，这不仅是公司发展需要，也是</w:t>
      </w:r>
      <w:r>
        <w:rPr>
          <w:spacing w:val="-15"/>
        </w:rPr>
        <w:t>国家建设制造强国的需要。公司不断完善用人机制，大力营造一个良好的施才环境，加大优秀人才的引进力度，以待遇吸引人，以事业留住人，以感情打动人。</w:t>
      </w:r>
      <w:r>
        <w:rPr>
          <w:spacing w:val="-22"/>
        </w:rPr>
        <w:t>采取多种渠道发现、培养、造就人才，实施“走出去、引进来”两条腿走路方略， 促进人才队伍技术技能素质的迅速提升。</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5.4 </w:t>
      </w:r>
      <w:r>
        <w:rPr>
          <w:sz w:val="24"/>
        </w:rPr>
        <w:t>完善管理体制与软环境建设</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公司建立了以人为本的人力资源开发和管理工作系统、激励机制和员工培训</w:t>
      </w:r>
      <w:r>
        <w:rPr>
          <w:spacing w:val="-1"/>
        </w:rPr>
        <w:t>与教育体系。公司始终坚持观念创新、制度创新的原则，创造一种公平、公正、</w:t>
      </w:r>
      <w:r>
        <w:rPr>
          <w:spacing w:val="-9"/>
        </w:rPr>
        <w:t>公开的氛围，建立一套充分发挥个人潜能的机制，提供一个充分实现自我价值的</w:t>
      </w:r>
      <w:r>
        <w:rPr>
          <w:spacing w:val="-11"/>
        </w:rPr>
        <w:t>发展空间。公司</w:t>
      </w:r>
      <w:r>
        <w:rPr>
          <w:rFonts w:hint="eastAsia"/>
          <w:spacing w:val="-11"/>
          <w:lang w:eastAsia="zh-CN"/>
        </w:rPr>
        <w:t>行政部</w:t>
      </w:r>
      <w:r>
        <w:rPr>
          <w:spacing w:val="-11"/>
        </w:rPr>
        <w:t>对各部门岗位进行普查，并进行关键岗位识别，加大</w:t>
      </w:r>
      <w:r>
        <w:rPr>
          <w:spacing w:val="-21"/>
        </w:rPr>
        <w:t xml:space="preserve">对关键岗位的人力资源配置和管理，建设公司后备人才梯队，完善人才引入制度， </w:t>
      </w:r>
      <w:r>
        <w:t>形成“能吸引、有门槛、留得住、有限制”的合理化人力资源管理。</w:t>
      </w: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人才的培养离不开软环境和硬环境的建设，软环境方面，加强技术人员、管</w:t>
      </w:r>
      <w:r>
        <w:rPr>
          <w:spacing w:val="-11"/>
        </w:rPr>
        <w:t>理人员、技术工人的团队建设，团队作为一个集体，是一个企业发展和竞争的核</w:t>
      </w:r>
      <w:r>
        <w:rPr>
          <w:spacing w:val="-21"/>
        </w:rPr>
        <w:t xml:space="preserve">心力量，企业与企业之间的竞争，关键是团队与团队之间的竞争，通过领导协调， </w:t>
      </w:r>
      <w:r>
        <w:rPr>
          <w:spacing w:val="-9"/>
        </w:rPr>
        <w:t>各团队分工合作，互敬、互爱、互助、互学，逐渐磨合，形成优势互补、取长补短，相互克服、相互激发，最终实现最高的工作效率。</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5.5 </w:t>
      </w:r>
      <w:r>
        <w:rPr>
          <w:sz w:val="24"/>
        </w:rPr>
        <w:t>构建祥和工作氛围</w:t>
      </w: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公司十分注重调动全体员工的积极性，在推出与员工切身利益密切相关的政</w:t>
      </w:r>
      <w:r>
        <w:rPr>
          <w:spacing w:val="-10"/>
        </w:rPr>
        <w:t>策、规定时，公司都通过座谈会</w:t>
      </w:r>
      <w:r>
        <w:rPr>
          <w:rFonts w:hint="eastAsia"/>
          <w:spacing w:val="-10"/>
        </w:rPr>
        <w:t>、</w:t>
      </w:r>
      <w:r>
        <w:rPr>
          <w:spacing w:val="-10"/>
        </w:rPr>
        <w:t>专题调研等形式，广泛听取意见。对</w:t>
      </w:r>
      <w:r>
        <w:rPr>
          <w:spacing w:val="-14"/>
        </w:rPr>
        <w:t>职工反映的问题进行认真地调查并通过职工代表大会方式进行讨论、研究，给予解决和答复，使广大员工感受到自己是企业的主人，企业是自己的家。</w:t>
      </w:r>
      <w:r>
        <w:rPr>
          <w:spacing w:val="-6"/>
        </w:rPr>
        <w:t>为使员工了解企业的经营情况、发展战略、改革措施等重大事项，搭建员工与高</w:t>
      </w:r>
      <w:r>
        <w:rPr>
          <w:spacing w:val="-7"/>
        </w:rPr>
        <w:t xml:space="preserve">层管理人员的有效沟通平台和渠道。公司工会制定了员工定期座谈会管理办法， </w:t>
      </w:r>
      <w:r>
        <w:rPr>
          <w:spacing w:val="-20"/>
        </w:rPr>
        <w:t>每月</w:t>
      </w:r>
      <w:r>
        <w:rPr>
          <w:rFonts w:hint="eastAsia"/>
        </w:rPr>
        <w:t>有固定时间</w:t>
      </w:r>
      <w:r>
        <w:rPr>
          <w:spacing w:val="-8"/>
        </w:rPr>
        <w:t>定为员工接待日，听取员工对公司发展过程中的意见和建议及员工最关心、最直接的问题和意见，解答员工的凝问。</w:t>
      </w:r>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pPr>
      <w:r>
        <w:rPr>
          <w:spacing w:val="-10"/>
        </w:rPr>
        <w:t>同时，通过举办多种多样的文艺活动、培训讨论等活</w:t>
      </w:r>
      <w:r>
        <w:rPr>
          <w:spacing w:val="-7"/>
        </w:rPr>
        <w:t>动来增强员工凝聚力和向心力，提高员工身心素质。家庭是企业的细胞，只有职</w:t>
      </w:r>
      <w:r>
        <w:rPr>
          <w:spacing w:val="-8"/>
        </w:rPr>
        <w:t>工家庭唱响和谐之音，职工才能全力以赴地投入到工作中，企业才能实现稳定发</w:t>
      </w:r>
      <w:r>
        <w:rPr>
          <w:spacing w:val="-10"/>
        </w:rPr>
        <w:t>展。公司深入实施文明家庭创建工程，努力构建和谐稳定家园，为公司的稳定健</w:t>
      </w:r>
      <w:r>
        <w:t>康发展创造安定向上的良好氛围。</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2"/>
        <w:keepNext w:val="0"/>
        <w:keepLines w:val="0"/>
        <w:pageBreakBefore w:val="0"/>
        <w:numPr>
          <w:ilvl w:val="0"/>
          <w:numId w:val="0"/>
        </w:numPr>
        <w:kinsoku/>
        <w:wordWrap/>
        <w:overflowPunct/>
        <w:topLinePunct w:val="0"/>
        <w:autoSpaceDE w:val="0"/>
        <w:autoSpaceDN w:val="0"/>
        <w:bidi w:val="0"/>
        <w:spacing w:line="360" w:lineRule="auto"/>
        <w:ind w:leftChars="200" w:right="0" w:rightChars="0" w:firstLine="281" w:firstLineChars="100"/>
        <w:jc w:val="both"/>
        <w:textAlignment w:val="auto"/>
        <w:rPr>
          <w:b/>
          <w:bCs/>
        </w:rPr>
      </w:pPr>
      <w:bookmarkStart w:id="13" w:name="七、奉献社会"/>
      <w:bookmarkEnd w:id="13"/>
      <w:bookmarkStart w:id="14" w:name="_Toc24531711"/>
      <w:r>
        <w:rPr>
          <w:rFonts w:hint="eastAsia"/>
          <w:b/>
          <w:bCs/>
          <w:lang w:val="en-US" w:eastAsia="zh-CN"/>
        </w:rPr>
        <w:t>六、</w:t>
      </w:r>
      <w:r>
        <w:rPr>
          <w:b/>
          <w:bCs/>
        </w:rPr>
        <w:t>奉献社会</w:t>
      </w:r>
      <w:bookmarkEnd w:id="14"/>
    </w:p>
    <w:p>
      <w:pPr>
        <w:widowControl w:val="0"/>
        <w:numPr>
          <w:ilvl w:val="0"/>
          <w:numId w:val="0"/>
        </w:numPr>
        <w:autoSpaceDE w:val="0"/>
        <w:autoSpaceDN w:val="0"/>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szCs w:val="22"/>
        </w:rPr>
      </w:pPr>
      <w:r>
        <w:rPr>
          <w:rFonts w:hint="eastAsia"/>
          <w:szCs w:val="22"/>
        </w:rPr>
        <w:t>公司发展离不开社会各界的支持，同时公司对社会也应履行社会责任。公司领导十分重视公益支持，积极主动履行公共责任，回报社会。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szCs w:val="22"/>
        </w:rPr>
      </w:pPr>
      <w:r>
        <w:rPr>
          <w:rFonts w:hint="eastAsia"/>
          <w:szCs w:val="22"/>
        </w:rPr>
        <w:t>结合公司的发展战略，在公司战略规划上，专门规划出部分资金用于的公益活动。公司领导以身作则积极参与社会的公益活动。</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szCs w:val="22"/>
        </w:rPr>
      </w:pPr>
    </w:p>
    <w:p>
      <w:pPr>
        <w:pStyle w:val="2"/>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15" w:name="八、合作伙伴"/>
      <w:bookmarkEnd w:id="15"/>
      <w:bookmarkStart w:id="16" w:name="_Toc24531712"/>
      <w:r>
        <w:rPr>
          <w:rFonts w:hint="eastAsia"/>
          <w:b/>
          <w:bCs/>
          <w:lang w:val="en-US" w:eastAsia="zh-CN"/>
        </w:rPr>
        <w:t>七</w:t>
      </w:r>
      <w:r>
        <w:rPr>
          <w:b/>
          <w:bCs/>
        </w:rPr>
        <w:t>、合作伙伴</w:t>
      </w:r>
      <w:bookmarkEnd w:id="16"/>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每一个伙伴关系都有其独特的成功因素，这与公司独特的环境相关联。然而</w:t>
      </w:r>
      <w:r>
        <w:rPr>
          <w:spacing w:val="-7"/>
        </w:rPr>
        <w:t>在不同产业国家与市场中，每个成功企业的业绩后面，有三个共同的因素存在于</w:t>
      </w:r>
      <w:r>
        <w:rPr>
          <w:spacing w:val="-9"/>
        </w:rPr>
        <w:t>每个成功的伙伴关系中：贡献、亲密、远景。这三个因素是促使伙伴关系成功不</w:t>
      </w:r>
      <w:r>
        <w:t>可或缺的因素。</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7.1 </w:t>
      </w:r>
      <w:r>
        <w:rPr>
          <w:rFonts w:hint="eastAsia"/>
          <w:sz w:val="24"/>
        </w:rPr>
        <w:t>共享共赢</w:t>
      </w:r>
    </w:p>
    <w:p>
      <w:pPr>
        <w:pStyle w:val="4"/>
        <w:keepNext w:val="0"/>
        <w:keepLines w:val="0"/>
        <w:pageBreakBefore w:val="0"/>
        <w:kinsoku/>
        <w:wordWrap/>
        <w:overflowPunct/>
        <w:topLinePunct w:val="0"/>
        <w:autoSpaceDE w:val="0"/>
        <w:autoSpaceDN w:val="0"/>
        <w:bidi w:val="0"/>
        <w:spacing w:line="360" w:lineRule="auto"/>
        <w:ind w:left="0" w:right="0" w:firstLine="432" w:firstLineChars="200"/>
        <w:jc w:val="both"/>
        <w:textAlignment w:val="auto"/>
      </w:pPr>
      <w:r>
        <w:rPr>
          <w:spacing w:val="-12"/>
        </w:rPr>
        <w:t>公司早</w:t>
      </w:r>
      <w:r>
        <w:rPr>
          <w:spacing w:val="-15"/>
        </w:rPr>
        <w:t xml:space="preserve">年就推行供应商整合调整项目，即培养一批优秀的供应商， </w:t>
      </w:r>
      <w:r>
        <w:rPr>
          <w:spacing w:val="-5"/>
        </w:rPr>
        <w:t>合并或放弃一批零散繁杂的小供应商，使得供应商的积极性得到了充分发挥，公</w:t>
      </w:r>
      <w:r>
        <w:rPr>
          <w:spacing w:val="-10"/>
        </w:rPr>
        <w:t>司与供应商的关系不再是简单的买卖关系，而是一种共生共荣</w:t>
      </w:r>
      <w:r>
        <w:rPr>
          <w:rFonts w:hint="eastAsia"/>
          <w:spacing w:val="-10"/>
        </w:rPr>
        <w:t>，共享共赢</w:t>
      </w:r>
      <w:r>
        <w:rPr>
          <w:spacing w:val="-10"/>
        </w:rPr>
        <w:t>的战略合作伙伴关</w:t>
      </w:r>
      <w:r>
        <w:rPr>
          <w:spacing w:val="-13"/>
        </w:rPr>
        <w:t>系。目前，公司与</w:t>
      </w:r>
      <w:r>
        <w:rPr>
          <w:spacing w:val="-10"/>
        </w:rPr>
        <w:t>国内大型知名</w:t>
      </w:r>
      <w:r>
        <w:rPr>
          <w:rFonts w:hint="eastAsia"/>
          <w:spacing w:val="-10"/>
          <w:lang w:val="en-US" w:eastAsia="zh-CN"/>
        </w:rPr>
        <w:t>企业</w:t>
      </w:r>
      <w:r>
        <w:rPr>
          <w:spacing w:val="-10"/>
        </w:rPr>
        <w:t>建立了良好的合作关系。</w:t>
      </w:r>
    </w:p>
    <w:p>
      <w:pPr>
        <w:pStyle w:val="16"/>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7.2 </w:t>
      </w:r>
      <w:r>
        <w:rPr>
          <w:sz w:val="24"/>
        </w:rPr>
        <w:t>杜绝商业贿赂</w:t>
      </w:r>
    </w:p>
    <w:p>
      <w:pPr>
        <w:pStyle w:val="4"/>
        <w:keepNext w:val="0"/>
        <w:keepLines w:val="0"/>
        <w:pageBreakBefore w:val="0"/>
        <w:kinsoku/>
        <w:wordWrap/>
        <w:overflowPunct/>
        <w:topLinePunct w:val="0"/>
        <w:autoSpaceDE w:val="0"/>
        <w:autoSpaceDN w:val="0"/>
        <w:bidi w:val="0"/>
        <w:spacing w:line="360" w:lineRule="auto"/>
        <w:ind w:left="0" w:right="0" w:firstLine="444" w:firstLineChars="200"/>
        <w:jc w:val="both"/>
        <w:textAlignment w:val="auto"/>
      </w:pPr>
      <w:r>
        <w:rPr>
          <w:spacing w:val="-9"/>
        </w:rPr>
        <w:t>随着公司的发展，供应商采购管理中的地位显得越来越重要。公司对供应商</w:t>
      </w:r>
      <w:r>
        <w:rPr>
          <w:spacing w:val="-10"/>
        </w:rPr>
        <w:t>的选择是在</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w:t>
      </w:r>
      <w:r>
        <w:rPr>
          <w:rFonts w:cs="Arial"/>
          <w:color w:val="333333"/>
          <w:sz w:val="24"/>
          <w:szCs w:val="24"/>
        </w:rPr>
        <w:t xml:space="preserve"> </w:t>
      </w:r>
      <w:r>
        <w:rPr>
          <w:rFonts w:hint="eastAsia" w:cs="Arial"/>
          <w:color w:val="333333"/>
          <w:sz w:val="24"/>
          <w:szCs w:val="24"/>
        </w:rPr>
        <w:t>和</w:t>
      </w:r>
      <w:r>
        <w:rPr>
          <w:rFonts w:cs="Arial"/>
          <w:color w:val="333333"/>
          <w:sz w:val="24"/>
          <w:szCs w:val="24"/>
        </w:rPr>
        <w:t>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w:t>
      </w:r>
      <w:r>
        <w:rPr>
          <w:rFonts w:hint="eastAsia" w:cs="Arial"/>
          <w:color w:val="333333"/>
          <w:sz w:val="24"/>
          <w:szCs w:val="24"/>
          <w:lang w:eastAsia="zh-CN"/>
        </w:rPr>
        <w:t>GB/T45001-2020</w:t>
      </w:r>
      <w:r>
        <w:rPr>
          <w:spacing w:val="-11"/>
        </w:rPr>
        <w:t>三大体系文件的原则下进行的</w:t>
      </w:r>
      <w:r>
        <w:t>。</w:t>
      </w:r>
      <w:bookmarkStart w:id="17" w:name="九、社会认可"/>
      <w:bookmarkEnd w:id="17"/>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2"/>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18" w:name="十、存在问题及改进"/>
      <w:bookmarkEnd w:id="18"/>
      <w:bookmarkStart w:id="19" w:name="_Toc24531713"/>
      <w:r>
        <w:rPr>
          <w:rFonts w:hint="eastAsia"/>
          <w:b/>
          <w:bCs/>
          <w:lang w:val="en-US" w:eastAsia="zh-CN"/>
        </w:rPr>
        <w:t>八</w:t>
      </w:r>
      <w:r>
        <w:rPr>
          <w:b/>
          <w:bCs/>
        </w:rPr>
        <w:t>、存在问题及改进</w:t>
      </w:r>
      <w:bookmarkEnd w:id="19"/>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公司在履行社会责任各方面做了大量的工作，但与相关规定仍存在差距。</w:t>
      </w:r>
      <w:r>
        <w:rPr>
          <w:rFonts w:hint="eastAsia"/>
          <w:lang w:eastAsia="zh-CN"/>
        </w:rPr>
        <w:t>202</w:t>
      </w:r>
      <w:r>
        <w:rPr>
          <w:rFonts w:hint="eastAsia"/>
          <w:lang w:val="en-US" w:eastAsia="zh-CN"/>
        </w:rPr>
        <w:t>1</w:t>
      </w:r>
      <w:r>
        <w:t>年，经济下行压力增大，市场需求低迷，面对中国经济新常态下的发展，不得不面对</w:t>
      </w:r>
      <w:r>
        <w:rPr>
          <w:rFonts w:hint="eastAsia"/>
          <w:lang w:val="en-US" w:eastAsia="zh-CN"/>
        </w:rPr>
        <w:t>信得达</w:t>
      </w:r>
      <w:r>
        <w:t>转型发展中的不适应：一是规模和效益方面：</w:t>
      </w:r>
      <w:r>
        <w:rPr>
          <w:rFonts w:hint="eastAsia"/>
          <w:lang w:eastAsia="zh-CN"/>
        </w:rPr>
        <w:t>202</w:t>
      </w:r>
      <w:r>
        <w:rPr>
          <w:rFonts w:hint="eastAsia"/>
          <w:lang w:val="en-US" w:eastAsia="zh-CN"/>
        </w:rPr>
        <w:t>1</w:t>
      </w:r>
      <w:r>
        <w:rPr>
          <w:spacing w:val="-20"/>
        </w:rPr>
        <w:t>年以</w:t>
      </w:r>
      <w:r>
        <w:rPr>
          <w:spacing w:val="-22"/>
        </w:rPr>
        <w:t>来，公司整体经济效益</w:t>
      </w:r>
      <w:r>
        <w:rPr>
          <w:rFonts w:hint="eastAsia"/>
          <w:spacing w:val="-22"/>
        </w:rPr>
        <w:t>增长趋势走低</w:t>
      </w:r>
      <w:r>
        <w:rPr>
          <w:spacing w:val="-22"/>
        </w:rPr>
        <w:t>，公司经营管理有待进一步完善。</w:t>
      </w:r>
      <w:r>
        <w:rPr>
          <w:spacing w:val="-7"/>
        </w:rPr>
        <w:t>二是人员结构和薪酬方面：人员结构优化结果与预期还有差距，薪酬结构和薪酬</w:t>
      </w:r>
      <w:r>
        <w:t>水平与规模和效益不匹配，有待进一步深化改革。三是国际化的竞争水平不高， 国际化战略刚见雏形、国际化市场资源配备不科学。四是商业模式传统并单一， 还未完全实现</w:t>
      </w:r>
      <w:r>
        <w:rPr>
          <w:rFonts w:hint="eastAsia"/>
        </w:rPr>
        <w:t>生产</w:t>
      </w:r>
      <w:r>
        <w:t>服务商转型。</w:t>
      </w:r>
    </w:p>
    <w:p>
      <w:pPr>
        <w:pStyle w:val="4"/>
        <w:spacing w:line="360" w:lineRule="auto"/>
        <w:ind w:firstLine="480" w:firstLineChars="200"/>
        <w:rPr>
          <w:rFonts w:hint="default"/>
          <w:lang w:val="en-US"/>
        </w:rPr>
      </w:pPr>
      <w:r>
        <w:t>未来三年，是我们 “雄鹰展翅翱翔”之</w:t>
      </w:r>
      <w:r>
        <w:rPr>
          <w:rFonts w:ascii="宋体" w:hAnsi="宋体" w:eastAsia="宋体" w:cs="宋体"/>
        </w:rPr>
        <w:t>年</w:t>
      </w:r>
      <w:r>
        <w:t>。公司将继续专注于</w:t>
      </w:r>
      <w:r>
        <w:rPr>
          <w:rFonts w:hint="eastAsia"/>
          <w:lang w:val="en-US" w:eastAsia="zh-CN"/>
        </w:rPr>
        <w:t>不锈钢无缝钢管</w:t>
      </w:r>
      <w:r>
        <w:t>的研发、生产和销售业务，瞄准国际前沿技术，坚持以实业经营为根本，以资本运作为手段，二者循环促进，推动公司成为</w:t>
      </w:r>
      <w:r>
        <w:rPr>
          <w:rFonts w:hint="eastAsia"/>
          <w:lang w:val="en-US" w:eastAsia="zh-CN"/>
        </w:rPr>
        <w:t>不锈钢无缝钢管</w:t>
      </w:r>
      <w:r>
        <w:t xml:space="preserve">的创新者和领导者， </w:t>
      </w:r>
      <w:r>
        <w:rPr>
          <w:rFonts w:hint="eastAsia"/>
        </w:rPr>
        <w:t>贯彻“</w:t>
      </w:r>
      <w:r>
        <w:rPr>
          <w:rFonts w:hint="eastAsia"/>
          <w:lang w:val="en-US" w:eastAsia="zh-CN"/>
        </w:rPr>
        <w:t>诚信、创新、学习、高效</w:t>
      </w:r>
      <w:r>
        <w:rPr>
          <w:rFonts w:hint="eastAsia"/>
        </w:rPr>
        <w:t>”的经营理念，最终实现</w:t>
      </w:r>
      <w:r>
        <w:t xml:space="preserve"> “</w:t>
      </w:r>
      <w:r>
        <w:rPr>
          <w:rFonts w:hint="eastAsia"/>
          <w:lang w:eastAsia="zh-CN"/>
        </w:rPr>
        <w:t>走科技之路，创国际品牌”</w:t>
      </w:r>
      <w:r>
        <w:rPr>
          <w:rFonts w:hint="eastAsia"/>
          <w:lang w:val="en-US" w:eastAsia="zh-CN"/>
        </w:rPr>
        <w:t>的公司愿景。</w:t>
      </w:r>
    </w:p>
    <w:p>
      <w:pPr>
        <w:pStyle w:val="4"/>
        <w:keepNext w:val="0"/>
        <w:keepLines w:val="0"/>
        <w:pageBreakBefore w:val="0"/>
        <w:kinsoku/>
        <w:wordWrap/>
        <w:overflowPunct/>
        <w:topLinePunct w:val="0"/>
        <w:autoSpaceDE w:val="0"/>
        <w:autoSpaceDN w:val="0"/>
        <w:bidi w:val="0"/>
        <w:spacing w:line="360" w:lineRule="auto"/>
        <w:ind w:left="0" w:right="0" w:firstLine="436" w:firstLineChars="200"/>
        <w:jc w:val="both"/>
        <w:textAlignment w:val="auto"/>
        <w:rPr>
          <w:spacing w:val="-11"/>
        </w:rPr>
      </w:pPr>
      <w:r>
        <w:rPr>
          <w:rFonts w:hint="eastAsia"/>
          <w:spacing w:val="-11"/>
        </w:rPr>
        <w:t>明确了发展战略为：</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ascii="宋体" w:hAnsi="宋体" w:cs="宋体"/>
          <w:szCs w:val="21"/>
          <w:highlight w:val="none"/>
        </w:rPr>
        <w:t>至202</w:t>
      </w:r>
      <w:r>
        <w:rPr>
          <w:rFonts w:hint="eastAsia" w:cs="宋体"/>
          <w:szCs w:val="21"/>
          <w:highlight w:val="none"/>
          <w:lang w:val="en-US" w:eastAsia="zh-CN"/>
        </w:rPr>
        <w:t>8</w:t>
      </w:r>
      <w:r>
        <w:rPr>
          <w:rFonts w:hint="eastAsia" w:ascii="宋体" w:hAnsi="宋体" w:cs="宋体"/>
          <w:szCs w:val="21"/>
          <w:highlight w:val="none"/>
        </w:rPr>
        <w:t>年，</w:t>
      </w:r>
      <w:r>
        <w:rPr>
          <w:rFonts w:hint="eastAsia" w:ascii="宋体" w:hAnsi="宋体" w:cs="宋体"/>
          <w:szCs w:val="21"/>
          <w:highlight w:val="none"/>
          <w:lang w:val="en-US" w:eastAsia="zh-CN"/>
        </w:rPr>
        <w:t>成为</w:t>
      </w:r>
      <w:r>
        <w:rPr>
          <w:rFonts w:hint="eastAsia" w:cs="宋体"/>
          <w:szCs w:val="21"/>
          <w:highlight w:val="none"/>
          <w:lang w:val="en-US" w:eastAsia="zh-CN"/>
        </w:rPr>
        <w:t>采购单位的</w:t>
      </w:r>
      <w:r>
        <w:rPr>
          <w:rFonts w:hint="eastAsia" w:ascii="宋体" w:hAnsi="宋体" w:cs="宋体"/>
          <w:szCs w:val="21"/>
          <w:highlight w:val="none"/>
          <w:lang w:val="en-US" w:eastAsia="zh-CN"/>
        </w:rPr>
        <w:t>首选供应商</w:t>
      </w:r>
      <w:r>
        <w:rPr>
          <w:rFonts w:hint="eastAsia" w:ascii="宋体" w:hAnsi="宋体" w:cs="宋体"/>
          <w:szCs w:val="21"/>
          <w:highlight w:val="none"/>
        </w:rPr>
        <w:t>。</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cs="宋体"/>
          <w:szCs w:val="21"/>
          <w:highlight w:val="none"/>
          <w:lang w:eastAsia="zh-CN"/>
        </w:rPr>
        <w:t>温州信得达</w:t>
      </w:r>
      <w:r>
        <w:rPr>
          <w:rFonts w:hint="eastAsia" w:ascii="宋体" w:hAnsi="宋体" w:cs="宋体"/>
          <w:szCs w:val="21"/>
          <w:highlight w:val="none"/>
        </w:rPr>
        <w:t>所在的</w:t>
      </w:r>
      <w:r>
        <w:rPr>
          <w:rFonts w:hint="eastAsia" w:cs="宋体"/>
          <w:szCs w:val="21"/>
          <w:highlight w:val="none"/>
          <w:lang w:val="en-US" w:eastAsia="zh-CN"/>
        </w:rPr>
        <w:t>不锈钢无缝钢管</w:t>
      </w:r>
      <w:r>
        <w:rPr>
          <w:rFonts w:hint="eastAsia" w:ascii="宋体" w:hAnsi="宋体" w:cs="宋体"/>
          <w:szCs w:val="21"/>
          <w:highlight w:val="none"/>
          <w:lang w:val="en-US" w:eastAsia="zh-CN"/>
        </w:rPr>
        <w:t>类</w:t>
      </w:r>
      <w:r>
        <w:rPr>
          <w:rFonts w:hint="eastAsia" w:ascii="宋体" w:hAnsi="宋体" w:cs="宋体"/>
          <w:szCs w:val="21"/>
          <w:highlight w:val="none"/>
        </w:rPr>
        <w:t>领域，市场潜力巨大，已形成如</w:t>
      </w:r>
      <w:r>
        <w:rPr>
          <w:rFonts w:hint="eastAsia" w:cs="宋体"/>
          <w:szCs w:val="21"/>
          <w:highlight w:val="none"/>
          <w:lang w:val="en-US" w:eastAsia="zh-CN"/>
        </w:rPr>
        <w:t>信得达</w:t>
      </w:r>
      <w:r>
        <w:rPr>
          <w:rFonts w:hint="eastAsia" w:ascii="宋体" w:hAnsi="宋体" w:cs="宋体"/>
          <w:szCs w:val="21"/>
          <w:highlight w:val="none"/>
        </w:rPr>
        <w:t>品牌形成稳定的认知，同时面临着激烈的市场竞争。为此，</w:t>
      </w:r>
      <w:r>
        <w:rPr>
          <w:rFonts w:hint="eastAsia" w:cs="宋体"/>
          <w:szCs w:val="21"/>
          <w:highlight w:val="none"/>
          <w:lang w:eastAsia="zh-CN"/>
        </w:rPr>
        <w:t>温州信得达</w:t>
      </w:r>
      <w:r>
        <w:rPr>
          <w:rFonts w:hint="eastAsia" w:ascii="宋体" w:hAnsi="宋体" w:cs="宋体"/>
          <w:szCs w:val="21"/>
          <w:highlight w:val="none"/>
        </w:rPr>
        <w:t>的应对策略就是：专业化与差异化，即：</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ascii="宋体" w:hAnsi="宋体" w:cs="宋体"/>
          <w:szCs w:val="21"/>
          <w:highlight w:val="none"/>
        </w:rPr>
        <w:t>1)追求产品核心价值的差异化、低成本与高性价比；</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ascii="宋体" w:hAnsi="宋体" w:cs="宋体"/>
          <w:szCs w:val="21"/>
          <w:highlight w:val="none"/>
        </w:rPr>
        <w:t>2)以专业化品牌对冲行业的多元化大品牌。</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spacing w:val="-11"/>
        </w:rPr>
      </w:pPr>
      <w:r>
        <w:rPr>
          <w:rFonts w:hint="eastAsia" w:ascii="宋体" w:hAnsi="宋体" w:cs="宋体"/>
          <w:szCs w:val="21"/>
          <w:highlight w:val="none"/>
        </w:rPr>
        <w:t>我们期望未来的</w:t>
      </w:r>
      <w:r>
        <w:rPr>
          <w:rFonts w:hint="eastAsia" w:cs="宋体"/>
          <w:szCs w:val="21"/>
          <w:highlight w:val="none"/>
          <w:lang w:eastAsia="zh-CN"/>
        </w:rPr>
        <w:t>温州信得达</w:t>
      </w:r>
      <w:r>
        <w:rPr>
          <w:rFonts w:hint="eastAsia" w:ascii="宋体" w:hAnsi="宋体" w:cs="宋体"/>
          <w:szCs w:val="21"/>
          <w:highlight w:val="none"/>
        </w:rPr>
        <w:t>是一个以专业著称的品牌，专注于</w:t>
      </w:r>
      <w:r>
        <w:rPr>
          <w:rFonts w:hint="eastAsia" w:cs="宋体"/>
          <w:sz w:val="24"/>
          <w:highlight w:val="none"/>
          <w:lang w:val="en-US" w:eastAsia="zh-CN"/>
        </w:rPr>
        <w:t>不锈钢无缝钢管</w:t>
      </w:r>
      <w:r>
        <w:rPr>
          <w:rFonts w:hint="eastAsia" w:ascii="宋体" w:hAnsi="宋体" w:cs="宋体"/>
          <w:szCs w:val="21"/>
          <w:highlight w:val="none"/>
          <w:lang w:val="en-US" w:eastAsia="zh-CN"/>
        </w:rPr>
        <w:t>类供应</w:t>
      </w:r>
      <w:r>
        <w:rPr>
          <w:rFonts w:hint="eastAsia" w:ascii="宋体" w:hAnsi="宋体" w:cs="宋体"/>
          <w:szCs w:val="21"/>
          <w:highlight w:val="none"/>
        </w:rPr>
        <w:t>。</w:t>
      </w:r>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pPr>
      <w:r>
        <w:rPr>
          <w:spacing w:val="-10"/>
        </w:rPr>
        <w:t>总之，在国家发展规划的引领下、在市政府的大力支持下，通过努力，相信</w:t>
      </w:r>
      <w:r>
        <w:rPr>
          <w:rFonts w:hint="eastAsia"/>
          <w:spacing w:val="-7"/>
          <w:lang w:eastAsia="zh-CN"/>
        </w:rPr>
        <w:t>信得达</w:t>
      </w:r>
      <w:r>
        <w:rPr>
          <w:spacing w:val="-7"/>
        </w:rPr>
        <w:t>未来三年规划会顺利实现，为</w:t>
      </w:r>
      <w:r>
        <w:rPr>
          <w:rFonts w:hint="eastAsia"/>
          <w:spacing w:val="-7"/>
          <w:lang w:val="en-US"/>
        </w:rPr>
        <w:t>温州</w:t>
      </w:r>
      <w:r>
        <w:rPr>
          <w:spacing w:val="-7"/>
        </w:rPr>
        <w:t>经济的繁荣发展献上一己之力！最终</w:t>
      </w:r>
      <w:r>
        <w:t>造福员工、造福社会。</w:t>
      </w:r>
    </w:p>
    <w:sectPr>
      <w:pgSz w:w="11910" w:h="16840"/>
      <w:pgMar w:top="1420" w:right="1440" w:bottom="1380" w:left="1680" w:header="877" w:footer="1197"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9930765</wp:posOffset>
              </wp:positionV>
              <wp:extent cx="298450" cy="150495"/>
              <wp:effectExtent l="0" t="0" r="0" b="0"/>
              <wp:wrapNone/>
              <wp:docPr id="5" name="文本框 8"/>
              <wp:cNvGraphicFramePr/>
              <a:graphic xmlns:a="http://schemas.openxmlformats.org/drawingml/2006/main">
                <a:graphicData uri="http://schemas.microsoft.com/office/word/2010/wordprocessingShape">
                  <wps:wsp>
                    <wps:cNvSpPr txBox="1"/>
                    <wps:spPr>
                      <a:xfrm>
                        <a:off x="0" y="0"/>
                        <a:ext cx="298450" cy="150495"/>
                      </a:xfrm>
                      <a:prstGeom prst="rect">
                        <a:avLst/>
                      </a:prstGeom>
                      <a:noFill/>
                      <a:ln>
                        <a:noFill/>
                      </a:ln>
                    </wps:spPr>
                    <wps:txbx>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3</w:t>
                          </w:r>
                          <w:r>
                            <w:rPr>
                              <w:rFonts w:ascii="Times New Roman" w:hAnsi="Times New Roman"/>
                              <w:sz w:val="18"/>
                              <w:szCs w:val="18"/>
                            </w:rPr>
                            <w:fldChar w:fldCharType="end"/>
                          </w:r>
                        </w:p>
                      </w:txbxContent>
                    </wps:txbx>
                    <wps:bodyPr lIns="0" tIns="0" rIns="0" bIns="0" upright="1"/>
                  </wps:wsp>
                </a:graphicData>
              </a:graphic>
            </wp:anchor>
          </w:drawing>
        </mc:Choice>
        <mc:Fallback>
          <w:pict>
            <v:shape id="文本框 8" o:spid="_x0000_s1026" o:spt="202" type="#_x0000_t202" style="position:absolute;left:0pt;margin-top:781.95pt;height:11.85pt;width:23.5pt;mso-position-horizontal:center;mso-position-horizontal-relative:margin;mso-position-vertical-relative:page;z-index:251660288;mso-width-relative:page;mso-height-relative:page;" filled="f" stroked="f" coordsize="21600,21600" o:gfxdata="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9wUEJ1wAAAAkBAAAPAAAAAAAAAAEAIAAAACIAAABkcnMvZG93bnJldi54bWxQSwECFAAU&#10;AAAACACHTuJAPPgPN7kBAABxAwAADgAAAAAAAAABACAAAAAmAQAAZHJzL2Uyb0RvYy54bWxQSwUG&#10;AAAAAAYABgBZAQAAUQUAAAAA&#10;">
              <v:fill on="f" focussize="0,0"/>
              <v:stroke on="f"/>
              <v:imagedata o:title=""/>
              <o:lock v:ext="edit" aspectratio="f"/>
              <v:textbox inset="0mm,0mm,0mm,0mm">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3</w:t>
                    </w:r>
                    <w:r>
                      <w:rPr>
                        <w:rFonts w:ascii="Times New Roman" w:hAnsi="Times New Roman"/>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rPr>
      <mc:AlternateContent>
        <mc:Choice Requires="wpg">
          <w:drawing>
            <wp:anchor distT="0" distB="0" distL="114300" distR="114300" simplePos="0" relativeHeight="251659264" behindDoc="1" locked="0" layoutInCell="1" allowOverlap="1">
              <wp:simplePos x="0" y="0"/>
              <wp:positionH relativeFrom="page">
                <wp:posOffset>899160</wp:posOffset>
              </wp:positionH>
              <wp:positionV relativeFrom="paragraph">
                <wp:posOffset>271145</wp:posOffset>
              </wp:positionV>
              <wp:extent cx="5888355" cy="1270"/>
              <wp:effectExtent l="0" t="0" r="0" b="0"/>
              <wp:wrapNone/>
              <wp:docPr id="4" name="组合 5"/>
              <wp:cNvGraphicFramePr/>
              <a:graphic xmlns:a="http://schemas.openxmlformats.org/drawingml/2006/main">
                <a:graphicData uri="http://schemas.microsoft.com/office/word/2010/wordprocessingGroup">
                  <wpg:wgp>
                    <wpg:cNvGrpSpPr/>
                    <wpg:grpSpPr>
                      <a:xfrm>
                        <a:off x="0" y="0"/>
                        <a:ext cx="5888355" cy="1270"/>
                        <a:chOff x="1416" y="-308"/>
                        <a:chExt cx="9273" cy="2203"/>
                      </a:xfrm>
                    </wpg:grpSpPr>
                    <wps:wsp>
                      <wps:cNvPr id="3" name="任意多边形 6"/>
                      <wps:cNvSpPr/>
                      <wps:spPr>
                        <a:xfrm>
                          <a:off x="1416" y="-308"/>
                          <a:ext cx="9273" cy="2"/>
                        </a:xfrm>
                        <a:custGeom>
                          <a:avLst/>
                          <a:gdLst/>
                          <a:ahLst/>
                          <a:cxnLst/>
                          <a:pathLst>
                            <a:path w="9273">
                              <a:moveTo>
                                <a:pt x="0" y="0"/>
                              </a:moveTo>
                              <a:lnTo>
                                <a:pt x="9273" y="0"/>
                              </a:lnTo>
                            </a:path>
                          </a:pathLst>
                        </a:custGeom>
                        <a:noFill/>
                        <a:ln w="7366" cap="flat" cmpd="sng">
                          <a:solidFill>
                            <a:srgbClr val="000000"/>
                          </a:solidFill>
                          <a:prstDash val="solid"/>
                          <a:headEnd type="none" w="med" len="med"/>
                          <a:tailEnd type="none" w="med" len="med"/>
                        </a:ln>
                      </wps:spPr>
                      <wps:bodyPr upright="1"/>
                    </wps:wsp>
                  </wpg:wgp>
                </a:graphicData>
              </a:graphic>
            </wp:anchor>
          </w:drawing>
        </mc:Choice>
        <mc:Fallback>
          <w:pict>
            <v:group id="组合 5" o:spid="_x0000_s1026" o:spt="203" style="position:absolute;left:0pt;margin-left:70.8pt;margin-top:21.35pt;height:0.1pt;width:463.65pt;mso-position-horizontal-relative:page;z-index:-251657216;mso-width-relative:page;mso-height-relative:page;" coordorigin="1416,-308" coordsize="9273,2203" o:gfxdata="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kclGt9kAAAAKAQAADwAAAAAAAAABACAAAAAiAAAAZHJzL2Rvd25yZXYueG1sUEsBAhQAFAAAAAgA&#10;h07iQOateG2WAgAAswUAAA4AAAAAAAAAAQAgAAAAKAEAAGRycy9lMm9Eb2MueG1sUEsFBgAAAAAG&#10;AAYAWQEAADAGAAAAAA==&#10;">
              <o:lock v:ext="edit" aspectratio="f"/>
              <v:shape id="任意多边形 6" o:spid="_x0000_s1026" o:spt="100" style="position:absolute;left:1416;top:-308;height:2;width:9273;" filled="f" stroked="t" coordsize="9273,1" o:gfxdata="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IkZXvQAA&#10;ANoAAAAPAAAAAAAAAAEAIAAAACIAAABkcnMvZG93bnJldi54bWxQSwECFAAUAAAACACHTuJAMy8F&#10;njsAAAA5AAAAEAAAAAAAAAABACAAAAAMAQAAZHJzL3NoYXBleG1sLnhtbFBLBQYAAAAABgAGAFsB&#10;AAC2AwAAAAA=&#10;" path="m0,0l9273,0e">
                <v:fill on="f" focussize="0,0"/>
                <v:stroke weight="0.58pt" color="#000000" joinstyle="round"/>
                <v:imagedata o:title=""/>
                <o:lock v:ext="edit" aspectratio="f"/>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600" w:hanging="480"/>
      </w:pPr>
      <w:rPr>
        <w:rFonts w:hint="default"/>
        <w:lang w:val="zh-CN" w:eastAsia="zh-CN" w:bidi="zh-CN"/>
      </w:rPr>
    </w:lvl>
    <w:lvl w:ilvl="1" w:tentative="0">
      <w:start w:val="1"/>
      <w:numFmt w:val="decimal"/>
      <w:lvlText w:val="%1.%2"/>
      <w:lvlJc w:val="left"/>
      <w:pPr>
        <w:ind w:left="600" w:hanging="480"/>
      </w:pPr>
      <w:rPr>
        <w:rFonts w:hint="default" w:ascii="宋体" w:hAnsi="宋体" w:eastAsia="宋体" w:cs="宋体"/>
        <w:w w:val="100"/>
        <w:sz w:val="24"/>
        <w:szCs w:val="24"/>
        <w:lang w:val="zh-CN" w:eastAsia="zh-CN" w:bidi="zh-CN"/>
      </w:rPr>
    </w:lvl>
    <w:lvl w:ilvl="2" w:tentative="0">
      <w:start w:val="0"/>
      <w:numFmt w:val="bullet"/>
      <w:lvlText w:val="•"/>
      <w:lvlJc w:val="left"/>
      <w:pPr>
        <w:ind w:left="2237" w:hanging="480"/>
      </w:pPr>
      <w:rPr>
        <w:rFonts w:hint="default"/>
        <w:lang w:val="zh-CN" w:eastAsia="zh-CN" w:bidi="zh-CN"/>
      </w:rPr>
    </w:lvl>
    <w:lvl w:ilvl="3" w:tentative="0">
      <w:start w:val="0"/>
      <w:numFmt w:val="bullet"/>
      <w:lvlText w:val="•"/>
      <w:lvlJc w:val="left"/>
      <w:pPr>
        <w:ind w:left="3055" w:hanging="480"/>
      </w:pPr>
      <w:rPr>
        <w:rFonts w:hint="default"/>
        <w:lang w:val="zh-CN" w:eastAsia="zh-CN" w:bidi="zh-CN"/>
      </w:rPr>
    </w:lvl>
    <w:lvl w:ilvl="4" w:tentative="0">
      <w:start w:val="0"/>
      <w:numFmt w:val="bullet"/>
      <w:lvlText w:val="•"/>
      <w:lvlJc w:val="left"/>
      <w:pPr>
        <w:ind w:left="3874" w:hanging="480"/>
      </w:pPr>
      <w:rPr>
        <w:rFonts w:hint="default"/>
        <w:lang w:val="zh-CN" w:eastAsia="zh-CN" w:bidi="zh-CN"/>
      </w:rPr>
    </w:lvl>
    <w:lvl w:ilvl="5" w:tentative="0">
      <w:start w:val="0"/>
      <w:numFmt w:val="bullet"/>
      <w:lvlText w:val="•"/>
      <w:lvlJc w:val="left"/>
      <w:pPr>
        <w:ind w:left="4693" w:hanging="480"/>
      </w:pPr>
      <w:rPr>
        <w:rFonts w:hint="default"/>
        <w:lang w:val="zh-CN" w:eastAsia="zh-CN" w:bidi="zh-CN"/>
      </w:rPr>
    </w:lvl>
    <w:lvl w:ilvl="6" w:tentative="0">
      <w:start w:val="0"/>
      <w:numFmt w:val="bullet"/>
      <w:lvlText w:val="•"/>
      <w:lvlJc w:val="left"/>
      <w:pPr>
        <w:ind w:left="5511" w:hanging="480"/>
      </w:pPr>
      <w:rPr>
        <w:rFonts w:hint="default"/>
        <w:lang w:val="zh-CN" w:eastAsia="zh-CN" w:bidi="zh-CN"/>
      </w:rPr>
    </w:lvl>
    <w:lvl w:ilvl="7" w:tentative="0">
      <w:start w:val="0"/>
      <w:numFmt w:val="bullet"/>
      <w:lvlText w:val="•"/>
      <w:lvlJc w:val="left"/>
      <w:pPr>
        <w:ind w:left="6330" w:hanging="480"/>
      </w:pPr>
      <w:rPr>
        <w:rFonts w:hint="default"/>
        <w:lang w:val="zh-CN" w:eastAsia="zh-CN" w:bidi="zh-CN"/>
      </w:rPr>
    </w:lvl>
    <w:lvl w:ilvl="8" w:tentative="0">
      <w:start w:val="0"/>
      <w:numFmt w:val="bullet"/>
      <w:lvlText w:val="•"/>
      <w:lvlJc w:val="left"/>
      <w:pPr>
        <w:ind w:left="7149" w:hanging="480"/>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480" w:hanging="360"/>
      </w:pPr>
      <w:rPr>
        <w:rFonts w:hint="default" w:ascii="宋体" w:hAnsi="宋体" w:eastAsia="宋体" w:cs="宋体"/>
        <w:w w:val="100"/>
        <w:sz w:val="24"/>
        <w:szCs w:val="24"/>
        <w:lang w:val="zh-CN" w:eastAsia="zh-CN" w:bidi="zh-CN"/>
      </w:rPr>
    </w:lvl>
    <w:lvl w:ilvl="1" w:tentative="0">
      <w:start w:val="0"/>
      <w:numFmt w:val="bullet"/>
      <w:lvlText w:val="•"/>
      <w:lvlJc w:val="left"/>
      <w:pPr>
        <w:ind w:left="1310" w:hanging="360"/>
      </w:pPr>
      <w:rPr>
        <w:rFonts w:hint="default"/>
        <w:lang w:val="zh-CN" w:eastAsia="zh-CN" w:bidi="zh-CN"/>
      </w:rPr>
    </w:lvl>
    <w:lvl w:ilvl="2" w:tentative="0">
      <w:start w:val="0"/>
      <w:numFmt w:val="bullet"/>
      <w:lvlText w:val="•"/>
      <w:lvlJc w:val="left"/>
      <w:pPr>
        <w:ind w:left="2141" w:hanging="360"/>
      </w:pPr>
      <w:rPr>
        <w:rFonts w:hint="default"/>
        <w:lang w:val="zh-CN" w:eastAsia="zh-CN" w:bidi="zh-CN"/>
      </w:rPr>
    </w:lvl>
    <w:lvl w:ilvl="3" w:tentative="0">
      <w:start w:val="0"/>
      <w:numFmt w:val="bullet"/>
      <w:lvlText w:val="•"/>
      <w:lvlJc w:val="left"/>
      <w:pPr>
        <w:ind w:left="2971" w:hanging="360"/>
      </w:pPr>
      <w:rPr>
        <w:rFonts w:hint="default"/>
        <w:lang w:val="zh-CN" w:eastAsia="zh-CN" w:bidi="zh-CN"/>
      </w:rPr>
    </w:lvl>
    <w:lvl w:ilvl="4" w:tentative="0">
      <w:start w:val="0"/>
      <w:numFmt w:val="bullet"/>
      <w:lvlText w:val="•"/>
      <w:lvlJc w:val="left"/>
      <w:pPr>
        <w:ind w:left="3802" w:hanging="360"/>
      </w:pPr>
      <w:rPr>
        <w:rFonts w:hint="default"/>
        <w:lang w:val="zh-CN" w:eastAsia="zh-CN" w:bidi="zh-CN"/>
      </w:rPr>
    </w:lvl>
    <w:lvl w:ilvl="5" w:tentative="0">
      <w:start w:val="0"/>
      <w:numFmt w:val="bullet"/>
      <w:lvlText w:val="•"/>
      <w:lvlJc w:val="left"/>
      <w:pPr>
        <w:ind w:left="4633" w:hanging="360"/>
      </w:pPr>
      <w:rPr>
        <w:rFonts w:hint="default"/>
        <w:lang w:val="zh-CN" w:eastAsia="zh-CN" w:bidi="zh-CN"/>
      </w:rPr>
    </w:lvl>
    <w:lvl w:ilvl="6" w:tentative="0">
      <w:start w:val="0"/>
      <w:numFmt w:val="bullet"/>
      <w:lvlText w:val="•"/>
      <w:lvlJc w:val="left"/>
      <w:pPr>
        <w:ind w:left="5463" w:hanging="360"/>
      </w:pPr>
      <w:rPr>
        <w:rFonts w:hint="default"/>
        <w:lang w:val="zh-CN" w:eastAsia="zh-CN" w:bidi="zh-CN"/>
      </w:rPr>
    </w:lvl>
    <w:lvl w:ilvl="7" w:tentative="0">
      <w:start w:val="0"/>
      <w:numFmt w:val="bullet"/>
      <w:lvlText w:val="•"/>
      <w:lvlJc w:val="left"/>
      <w:pPr>
        <w:ind w:left="6294" w:hanging="360"/>
      </w:pPr>
      <w:rPr>
        <w:rFonts w:hint="default"/>
        <w:lang w:val="zh-CN" w:eastAsia="zh-CN" w:bidi="zh-CN"/>
      </w:rPr>
    </w:lvl>
    <w:lvl w:ilvl="8" w:tentative="0">
      <w:start w:val="0"/>
      <w:numFmt w:val="bullet"/>
      <w:lvlText w:val="•"/>
      <w:lvlJc w:val="left"/>
      <w:pPr>
        <w:ind w:left="7125" w:hanging="360"/>
      </w:pPr>
      <w:rPr>
        <w:rFonts w:hint="default"/>
        <w:lang w:val="zh-CN" w:eastAsia="zh-CN" w:bidi="zh-CN"/>
      </w:rPr>
    </w:lvl>
  </w:abstractNum>
  <w:abstractNum w:abstractNumId="2">
    <w:nsid w:val="21DCA710"/>
    <w:multiLevelType w:val="singleLevel"/>
    <w:tmpl w:val="21DCA710"/>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00290920"/>
    <w:rsid w:val="000278DC"/>
    <w:rsid w:val="00032473"/>
    <w:rsid w:val="000414FB"/>
    <w:rsid w:val="000579A5"/>
    <w:rsid w:val="00063023"/>
    <w:rsid w:val="00066EC5"/>
    <w:rsid w:val="001175B4"/>
    <w:rsid w:val="0017610F"/>
    <w:rsid w:val="001C1FC1"/>
    <w:rsid w:val="001E006E"/>
    <w:rsid w:val="001E1AAD"/>
    <w:rsid w:val="00244132"/>
    <w:rsid w:val="0026017D"/>
    <w:rsid w:val="00263C88"/>
    <w:rsid w:val="002704DC"/>
    <w:rsid w:val="002903F9"/>
    <w:rsid w:val="00290920"/>
    <w:rsid w:val="002E4DCC"/>
    <w:rsid w:val="0030225B"/>
    <w:rsid w:val="0033239A"/>
    <w:rsid w:val="00333CDD"/>
    <w:rsid w:val="0036038A"/>
    <w:rsid w:val="00376968"/>
    <w:rsid w:val="0037720E"/>
    <w:rsid w:val="003A0DB5"/>
    <w:rsid w:val="003D04CD"/>
    <w:rsid w:val="003F6CFA"/>
    <w:rsid w:val="0040402E"/>
    <w:rsid w:val="00405E2E"/>
    <w:rsid w:val="00436F89"/>
    <w:rsid w:val="00440CA5"/>
    <w:rsid w:val="00467DCB"/>
    <w:rsid w:val="004900E6"/>
    <w:rsid w:val="004A161E"/>
    <w:rsid w:val="004D63C4"/>
    <w:rsid w:val="004F1C97"/>
    <w:rsid w:val="004F1D71"/>
    <w:rsid w:val="005046FD"/>
    <w:rsid w:val="005B134C"/>
    <w:rsid w:val="005C44A5"/>
    <w:rsid w:val="005E0325"/>
    <w:rsid w:val="006511E0"/>
    <w:rsid w:val="00687D11"/>
    <w:rsid w:val="006C39B4"/>
    <w:rsid w:val="006C4684"/>
    <w:rsid w:val="006E5587"/>
    <w:rsid w:val="007103E9"/>
    <w:rsid w:val="00724FE4"/>
    <w:rsid w:val="00766F3F"/>
    <w:rsid w:val="00774550"/>
    <w:rsid w:val="007816F0"/>
    <w:rsid w:val="007B7DB6"/>
    <w:rsid w:val="007C6B63"/>
    <w:rsid w:val="007E5EB5"/>
    <w:rsid w:val="00825F7C"/>
    <w:rsid w:val="00866AFB"/>
    <w:rsid w:val="008904FE"/>
    <w:rsid w:val="008C6E32"/>
    <w:rsid w:val="008F71D5"/>
    <w:rsid w:val="009033D2"/>
    <w:rsid w:val="009364BF"/>
    <w:rsid w:val="009369F8"/>
    <w:rsid w:val="0094624B"/>
    <w:rsid w:val="00963BF3"/>
    <w:rsid w:val="009A0267"/>
    <w:rsid w:val="009C1E21"/>
    <w:rsid w:val="009C7DA2"/>
    <w:rsid w:val="009F692A"/>
    <w:rsid w:val="00A46435"/>
    <w:rsid w:val="00AB12C6"/>
    <w:rsid w:val="00AD3415"/>
    <w:rsid w:val="00B04DFD"/>
    <w:rsid w:val="00B10FBE"/>
    <w:rsid w:val="00B40D99"/>
    <w:rsid w:val="00B50488"/>
    <w:rsid w:val="00B82100"/>
    <w:rsid w:val="00BD1A31"/>
    <w:rsid w:val="00BE263E"/>
    <w:rsid w:val="00C53042"/>
    <w:rsid w:val="00C7250B"/>
    <w:rsid w:val="00CB539F"/>
    <w:rsid w:val="00CF08BE"/>
    <w:rsid w:val="00D10E9E"/>
    <w:rsid w:val="00D15940"/>
    <w:rsid w:val="00D26976"/>
    <w:rsid w:val="00D43431"/>
    <w:rsid w:val="00D43AC4"/>
    <w:rsid w:val="00D96750"/>
    <w:rsid w:val="00DF7453"/>
    <w:rsid w:val="00E17C27"/>
    <w:rsid w:val="00E20AA2"/>
    <w:rsid w:val="00E228B5"/>
    <w:rsid w:val="00E93DD6"/>
    <w:rsid w:val="00EC0C64"/>
    <w:rsid w:val="00EE28D9"/>
    <w:rsid w:val="00EE57D0"/>
    <w:rsid w:val="00F051A3"/>
    <w:rsid w:val="00F92607"/>
    <w:rsid w:val="00FA73EE"/>
    <w:rsid w:val="00FB1115"/>
    <w:rsid w:val="00FB3464"/>
    <w:rsid w:val="00FB62EB"/>
    <w:rsid w:val="01EB606E"/>
    <w:rsid w:val="038A7DBD"/>
    <w:rsid w:val="07A61E1B"/>
    <w:rsid w:val="0C130028"/>
    <w:rsid w:val="0E8F60D6"/>
    <w:rsid w:val="0F93018A"/>
    <w:rsid w:val="0FE35D42"/>
    <w:rsid w:val="157B4D0F"/>
    <w:rsid w:val="15A873B1"/>
    <w:rsid w:val="15EC04AB"/>
    <w:rsid w:val="16D10314"/>
    <w:rsid w:val="193366D3"/>
    <w:rsid w:val="1BC56881"/>
    <w:rsid w:val="1DD31158"/>
    <w:rsid w:val="20A95695"/>
    <w:rsid w:val="2A8F5314"/>
    <w:rsid w:val="2AD31C13"/>
    <w:rsid w:val="2CC4342F"/>
    <w:rsid w:val="2FF5681A"/>
    <w:rsid w:val="30D16C82"/>
    <w:rsid w:val="324548F6"/>
    <w:rsid w:val="3548797A"/>
    <w:rsid w:val="3C9464F7"/>
    <w:rsid w:val="445910F7"/>
    <w:rsid w:val="4579649E"/>
    <w:rsid w:val="4A1572C5"/>
    <w:rsid w:val="4A2D3B78"/>
    <w:rsid w:val="4A3C643D"/>
    <w:rsid w:val="4E79317F"/>
    <w:rsid w:val="4F510191"/>
    <w:rsid w:val="501D3D65"/>
    <w:rsid w:val="503C50C7"/>
    <w:rsid w:val="50C35B1C"/>
    <w:rsid w:val="545F27AD"/>
    <w:rsid w:val="55B10B61"/>
    <w:rsid w:val="567D3FBF"/>
    <w:rsid w:val="571560F4"/>
    <w:rsid w:val="594C43FA"/>
    <w:rsid w:val="5A6A1A6C"/>
    <w:rsid w:val="5AC30CBD"/>
    <w:rsid w:val="5F186733"/>
    <w:rsid w:val="5F1C41B0"/>
    <w:rsid w:val="5F56678A"/>
    <w:rsid w:val="5F775121"/>
    <w:rsid w:val="615B1E4B"/>
    <w:rsid w:val="62E97EC7"/>
    <w:rsid w:val="63CE1FD7"/>
    <w:rsid w:val="64332663"/>
    <w:rsid w:val="659916BA"/>
    <w:rsid w:val="65BD276E"/>
    <w:rsid w:val="676B4959"/>
    <w:rsid w:val="67E61C3B"/>
    <w:rsid w:val="695104C1"/>
    <w:rsid w:val="6B7E7A5D"/>
    <w:rsid w:val="6C214F2E"/>
    <w:rsid w:val="6C2D5436"/>
    <w:rsid w:val="6EF2679D"/>
    <w:rsid w:val="71A95A66"/>
    <w:rsid w:val="730E375A"/>
    <w:rsid w:val="75135156"/>
    <w:rsid w:val="755B7ABB"/>
    <w:rsid w:val="757423F0"/>
    <w:rsid w:val="767B3CA4"/>
    <w:rsid w:val="7CAF49AE"/>
    <w:rsid w:val="7EF15B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autoRedefine/>
    <w:qFormat/>
    <w:uiPriority w:val="1"/>
    <w:pPr>
      <w:ind w:left="120"/>
      <w:outlineLvl w:val="0"/>
    </w:pPr>
    <w:rPr>
      <w:sz w:val="28"/>
      <w:szCs w:val="28"/>
    </w:rPr>
  </w:style>
  <w:style w:type="paragraph" w:styleId="3">
    <w:name w:val="heading 2"/>
    <w:basedOn w:val="1"/>
    <w:next w:val="1"/>
    <w:autoRedefine/>
    <w:qFormat/>
    <w:uiPriority w:val="1"/>
    <w:pPr>
      <w:ind w:right="240"/>
      <w:jc w:val="center"/>
      <w:outlineLvl w:val="1"/>
    </w:pPr>
    <w:rPr>
      <w:b/>
      <w:bCs/>
      <w:sz w:val="24"/>
      <w:szCs w:val="24"/>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1"/>
    <w:pPr>
      <w:ind w:left="120"/>
    </w:pPr>
    <w:rPr>
      <w:sz w:val="24"/>
      <w:szCs w:val="24"/>
    </w:rPr>
  </w:style>
  <w:style w:type="paragraph" w:styleId="5">
    <w:name w:val="Body Text Indent"/>
    <w:basedOn w:val="1"/>
    <w:autoRedefine/>
    <w:qFormat/>
    <w:uiPriority w:val="0"/>
    <w:pPr>
      <w:autoSpaceDE w:val="0"/>
      <w:autoSpaceDN w:val="0"/>
      <w:adjustRightInd w:val="0"/>
      <w:spacing w:line="504" w:lineRule="exact"/>
      <w:ind w:firstLine="480"/>
    </w:pPr>
    <w:rPr>
      <w:kern w:val="0"/>
      <w:sz w:val="24"/>
    </w:rPr>
  </w:style>
  <w:style w:type="paragraph" w:styleId="6">
    <w:name w:val="Balloon Text"/>
    <w:basedOn w:val="1"/>
    <w:link w:val="22"/>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pPr>
    <w:rPr>
      <w:sz w:val="18"/>
      <w:szCs w:val="18"/>
    </w:rPr>
  </w:style>
  <w:style w:type="paragraph" w:styleId="8">
    <w:name w:val="header"/>
    <w:basedOn w:val="1"/>
    <w:link w:val="19"/>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qFormat/>
    <w:uiPriority w:val="39"/>
    <w:pPr>
      <w:spacing w:before="316"/>
      <w:ind w:right="238"/>
      <w:jc w:val="center"/>
    </w:pPr>
    <w:rPr>
      <w:sz w:val="24"/>
      <w:szCs w:val="24"/>
    </w:rPr>
  </w:style>
  <w:style w:type="paragraph" w:styleId="10">
    <w:name w:val="Normal (Web)"/>
    <w:basedOn w:val="1"/>
    <w:autoRedefine/>
    <w:unhideWhenUsed/>
    <w:qFormat/>
    <w:uiPriority w:val="99"/>
    <w:pPr>
      <w:spacing w:before="100" w:beforeAutospacing="1" w:after="100" w:afterAutospacing="1"/>
      <w:ind w:left="0" w:right="0"/>
      <w:jc w:val="left"/>
    </w:pPr>
    <w:rPr>
      <w:kern w:val="0"/>
      <w:sz w:val="24"/>
      <w:lang w:val="en-US" w:eastAsia="zh-CN" w:bidi="ar"/>
    </w:rPr>
  </w:style>
  <w:style w:type="character" w:styleId="13">
    <w:name w:val="Hyperlink"/>
    <w:basedOn w:val="12"/>
    <w:autoRedefine/>
    <w:unhideWhenUsed/>
    <w:qFormat/>
    <w:uiPriority w:val="99"/>
    <w:rPr>
      <w:color w:val="0000FF" w:themeColor="hyperlink"/>
      <w:u w:val="single"/>
      <w14:textFill>
        <w14:solidFill>
          <w14:schemeClr w14:val="hlink"/>
        </w14:solidFill>
      </w14:textFill>
    </w:rPr>
  </w:style>
  <w:style w:type="paragraph" w:customStyle="1" w:styleId="14">
    <w:name w:val="表格文字"/>
    <w:autoRedefine/>
    <w:qFormat/>
    <w:uiPriority w:val="0"/>
    <w:pPr>
      <w:widowControl w:val="0"/>
      <w:autoSpaceDE w:val="0"/>
      <w:autoSpaceDN w:val="0"/>
      <w:adjustRightInd w:val="0"/>
    </w:pPr>
    <w:rPr>
      <w:rFonts w:hint="eastAsia" w:ascii="MingLiU" w:hAnsi="Calibri" w:eastAsia="MingLiU" w:cs="Times New Roman"/>
      <w:color w:val="000000"/>
      <w:sz w:val="24"/>
      <w:lang w:val="en-US" w:eastAsia="zh-TW" w:bidi="ar-SA"/>
    </w:rPr>
  </w:style>
  <w:style w:type="table" w:customStyle="1" w:styleId="15">
    <w:name w:val="Table Normal"/>
    <w:autoRedefine/>
    <w:semiHidden/>
    <w:unhideWhenUsed/>
    <w:qFormat/>
    <w:uiPriority w:val="2"/>
    <w:tblPr>
      <w:tblCellMar>
        <w:top w:w="0" w:type="dxa"/>
        <w:left w:w="0" w:type="dxa"/>
        <w:bottom w:w="0" w:type="dxa"/>
        <w:right w:w="0" w:type="dxa"/>
      </w:tblCellMar>
    </w:tblPr>
  </w:style>
  <w:style w:type="paragraph" w:styleId="16">
    <w:name w:val="List Paragraph"/>
    <w:basedOn w:val="1"/>
    <w:autoRedefine/>
    <w:qFormat/>
    <w:uiPriority w:val="1"/>
    <w:pPr>
      <w:spacing w:before="4"/>
      <w:ind w:left="540" w:hanging="420"/>
    </w:pPr>
  </w:style>
  <w:style w:type="paragraph" w:customStyle="1" w:styleId="17">
    <w:name w:val="Table Paragraph"/>
    <w:basedOn w:val="1"/>
    <w:autoRedefine/>
    <w:qFormat/>
    <w:uiPriority w:val="1"/>
    <w:pPr>
      <w:spacing w:before="156"/>
      <w:ind w:left="112"/>
    </w:pPr>
  </w:style>
  <w:style w:type="paragraph" w:customStyle="1" w:styleId="18">
    <w:name w:val="WPSOffice手动目录 1"/>
    <w:autoRedefine/>
    <w:qFormat/>
    <w:uiPriority w:val="0"/>
    <w:rPr>
      <w:rFonts w:ascii="Times New Roman" w:hAnsi="Times New Roman" w:eastAsia="宋体" w:cs="Times New Roman"/>
      <w:lang w:val="en-US" w:eastAsia="zh-CN" w:bidi="ar-SA"/>
    </w:rPr>
  </w:style>
  <w:style w:type="character" w:customStyle="1" w:styleId="19">
    <w:name w:val="页眉 Char"/>
    <w:basedOn w:val="12"/>
    <w:link w:val="8"/>
    <w:autoRedefine/>
    <w:qFormat/>
    <w:uiPriority w:val="0"/>
    <w:rPr>
      <w:rFonts w:ascii="宋体" w:hAnsi="宋体" w:cs="宋体"/>
      <w:sz w:val="18"/>
      <w:szCs w:val="18"/>
      <w:lang w:val="zh-CN" w:bidi="zh-CN"/>
    </w:rPr>
  </w:style>
  <w:style w:type="character" w:customStyle="1" w:styleId="20">
    <w:name w:val="页脚 Char"/>
    <w:basedOn w:val="12"/>
    <w:link w:val="7"/>
    <w:autoRedefine/>
    <w:qFormat/>
    <w:uiPriority w:val="0"/>
    <w:rPr>
      <w:rFonts w:ascii="宋体" w:hAnsi="宋体" w:cs="宋体"/>
      <w:sz w:val="18"/>
      <w:szCs w:val="18"/>
      <w:lang w:val="zh-CN" w:bidi="zh-CN"/>
    </w:rPr>
  </w:style>
  <w:style w:type="paragraph" w:customStyle="1" w:styleId="21">
    <w:name w:val="TOC 标题1"/>
    <w:basedOn w:val="2"/>
    <w:next w:val="1"/>
    <w:autoRedefine/>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376092" w:themeColor="accent1" w:themeShade="BF"/>
      <w:sz w:val="32"/>
      <w:szCs w:val="32"/>
      <w:lang w:val="en-US" w:bidi="ar-SA"/>
    </w:rPr>
  </w:style>
  <w:style w:type="character" w:customStyle="1" w:styleId="22">
    <w:name w:val="批注框文本 Char"/>
    <w:basedOn w:val="12"/>
    <w:link w:val="6"/>
    <w:autoRedefine/>
    <w:qFormat/>
    <w:uiPriority w:val="0"/>
    <w:rPr>
      <w:rFonts w:ascii="宋体" w:hAnsi="宋体" w:cs="宋体"/>
      <w:sz w:val="18"/>
      <w:szCs w:val="18"/>
      <w:lang w:val="zh-CN" w:bidi="zh-CN"/>
    </w:rPr>
  </w:style>
  <w:style w:type="paragraph" w:customStyle="1" w:styleId="23">
    <w:name w:val="Heading 11"/>
    <w:basedOn w:val="1"/>
    <w:autoRedefine/>
    <w:qFormat/>
    <w:uiPriority w:val="99"/>
    <w:pPr>
      <w:outlineLvl w:val="1"/>
    </w:pPr>
    <w:rPr>
      <w:rFonts w:ascii="黑体" w:hAnsi="黑体" w:eastAsia="黑体"/>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687B06-5AC9-42A6-B47C-1C455AC4FB8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21</Pages>
  <Words>13668</Words>
  <Characters>13913</Characters>
  <Lines>116</Lines>
  <Paragraphs>32</Paragraphs>
  <TotalTime>3</TotalTime>
  <ScaleCrop>false</ScaleCrop>
  <LinksUpToDate>false</LinksUpToDate>
  <CharactersWithSpaces>13982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2019-06-04T02:04:00Z</dcterms:created>
  <dc:creator>尚丹</dc:creator>
  <cp:lastModifiedBy>尘落碧云</cp:lastModifiedBy>
  <cp:lastPrinted>2020-04-14T05:34:00Z</cp:lastPrinted>
  <dcterms:modified xsi:type="dcterms:W3CDTF">2024-05-28T07:09:23Z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2018-08-30T00:00:00Z</vt:filetime>
  </property>
  <property fmtid="{D5CDD505-2E9C-101B-9397-08002B2CF9AE}" pid="3" name="Creator">
    <vt:lpwstr>Acrobat PDFMaker 15 Word 版</vt:lpwstr>
  </property>
  <property fmtid="{D5CDD505-2E9C-101B-9397-08002B2CF9AE}" pid="4" name="LastSaved">
    <vt:filetime>2019-06-04T00:00:00Z</vt:filetime>
  </property>
  <property fmtid="{D5CDD505-2E9C-101B-9397-08002B2CF9AE}" pid="5" name="KSOProductBuildVer">
    <vt:lpwstr>2052-12.1.0.16929</vt:lpwstr>
  </property>
  <property fmtid="{D5CDD505-2E9C-101B-9397-08002B2CF9AE}" pid="6" name="ICV">
    <vt:lpwstr>E1C69AD5D6C54DB98E2E8F47B917E5CD</vt:lpwstr>
  </property>
  <property fmtid="{D5CDD505-2E9C-101B-9397-08002B2CF9AE}" pid="7" name="commondata">
    <vt:lpwstr>eyJoZGlkIjoiZjVhNGJiMWVmZTg4ZjFhYWZhYWFiMzBkODkwYWRkZmUifQ==</vt:lpwstr>
  </property>
</Properties>
</file>